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492" w:rsidRDefault="00670492">
      <w:pPr>
        <w:spacing w:after="0" w:line="240" w:lineRule="auto"/>
        <w:rPr>
          <w:b/>
          <w:i/>
        </w:rPr>
      </w:pPr>
      <w:bookmarkStart w:id="0" w:name="_gjdgxs" w:colFirst="0" w:colLast="0"/>
      <w:bookmarkStart w:id="1" w:name="_GoBack"/>
      <w:bookmarkEnd w:id="0"/>
    </w:p>
    <w:p w:rsidR="00670492" w:rsidRDefault="00670492">
      <w:pPr>
        <w:spacing w:after="0" w:line="240" w:lineRule="auto"/>
        <w:rPr>
          <w:b/>
          <w:i/>
        </w:rPr>
      </w:pPr>
      <w:bookmarkStart w:id="2" w:name="_hqr42oe57ojs" w:colFirst="0" w:colLast="0"/>
      <w:bookmarkEnd w:id="2"/>
    </w:p>
    <w:p w:rsidR="00670492" w:rsidRDefault="00670492">
      <w:pPr>
        <w:spacing w:after="0" w:line="240" w:lineRule="auto"/>
        <w:rPr>
          <w:b/>
          <w:i/>
        </w:rPr>
      </w:pPr>
      <w:bookmarkStart w:id="3" w:name="_x1oj1fpcixrj" w:colFirst="0" w:colLast="0"/>
      <w:bookmarkEnd w:id="3"/>
    </w:p>
    <w:p w:rsidR="00670492" w:rsidRDefault="00670492">
      <w:pPr>
        <w:spacing w:after="0" w:line="240" w:lineRule="auto"/>
        <w:rPr>
          <w:b/>
          <w:i/>
        </w:rPr>
      </w:pPr>
      <w:bookmarkStart w:id="4" w:name="_msuikg3n886f" w:colFirst="0" w:colLast="0"/>
      <w:bookmarkEnd w:id="4"/>
    </w:p>
    <w:p w:rsidR="00670492" w:rsidRDefault="00670492">
      <w:pPr>
        <w:spacing w:after="0" w:line="240" w:lineRule="auto"/>
        <w:rPr>
          <w:b/>
          <w:i/>
        </w:rPr>
      </w:pPr>
      <w:bookmarkStart w:id="5" w:name="_ugqxrpes20wn" w:colFirst="0" w:colLast="0"/>
      <w:bookmarkEnd w:id="5"/>
    </w:p>
    <w:p w:rsidR="00670492" w:rsidRDefault="00670492">
      <w:pPr>
        <w:spacing w:after="0" w:line="240" w:lineRule="auto"/>
        <w:rPr>
          <w:b/>
          <w:i/>
        </w:rPr>
      </w:pPr>
      <w:bookmarkStart w:id="6" w:name="_k8zvaf5nqzn0" w:colFirst="0" w:colLast="0"/>
      <w:bookmarkEnd w:id="6"/>
    </w:p>
    <w:p w:rsidR="00670492" w:rsidRDefault="00670492">
      <w:pPr>
        <w:widowControl w:val="0"/>
        <w:pBdr>
          <w:top w:val="nil"/>
          <w:left w:val="nil"/>
          <w:bottom w:val="nil"/>
          <w:right w:val="nil"/>
          <w:between w:val="nil"/>
        </w:pBdr>
        <w:spacing w:after="0"/>
        <w:sectPr w:rsidR="00670492">
          <w:headerReference w:type="default" r:id="rId7"/>
          <w:footerReference w:type="default" r:id="rId8"/>
          <w:headerReference w:type="first" r:id="rId9"/>
          <w:footerReference w:type="first" r:id="rId10"/>
          <w:pgSz w:w="12240" w:h="15840"/>
          <w:pgMar w:top="1739" w:right="1080" w:bottom="1440" w:left="1440" w:header="720" w:footer="720" w:gutter="0"/>
          <w:pgNumType w:start="1"/>
          <w:cols w:space="720"/>
          <w:titlePg/>
        </w:sectPr>
      </w:pPr>
    </w:p>
    <w:p w:rsidR="00670492" w:rsidRDefault="001429DF">
      <w:pPr>
        <w:pStyle w:val="Heading1"/>
      </w:pPr>
      <w:bookmarkStart w:id="7" w:name="_Toc10017472"/>
      <w:r>
        <w:lastRenderedPageBreak/>
        <w:t>Section 1: Consortium Information</w:t>
      </w:r>
      <w:bookmarkEnd w:id="7"/>
    </w:p>
    <w:p w:rsidR="00670492" w:rsidRDefault="001429DF">
      <w:pPr>
        <w:pStyle w:val="Title"/>
        <w:spacing w:after="240"/>
        <w:rPr>
          <w:color w:val="04326C"/>
          <w:sz w:val="72"/>
          <w:szCs w:val="72"/>
        </w:rPr>
      </w:pPr>
      <w:r>
        <w:rPr>
          <w:color w:val="04326C"/>
          <w:sz w:val="72"/>
          <w:szCs w:val="72"/>
        </w:rPr>
        <w:t>Sierra Joint Consortia</w:t>
      </w:r>
    </w:p>
    <w:p w:rsidR="00670492" w:rsidRPr="006F5BAC" w:rsidRDefault="001429DF">
      <w:pPr>
        <w:spacing w:after="0"/>
        <w:rPr>
          <w:rFonts w:ascii="Arial" w:eastAsia="Calibri" w:hAnsi="Arial" w:cs="Arial"/>
          <w:b/>
          <w:color w:val="04326C"/>
          <w:sz w:val="24"/>
          <w:szCs w:val="24"/>
        </w:rPr>
      </w:pPr>
      <w:r w:rsidRPr="006F5BAC">
        <w:rPr>
          <w:rFonts w:ascii="Arial" w:eastAsia="Calibri" w:hAnsi="Arial" w:cs="Arial"/>
          <w:b/>
          <w:color w:val="04326C"/>
          <w:sz w:val="24"/>
          <w:szCs w:val="24"/>
        </w:rPr>
        <w:t xml:space="preserve">Eric </w:t>
      </w:r>
      <w:proofErr w:type="spellStart"/>
      <w:r w:rsidRPr="006F5BAC">
        <w:rPr>
          <w:rFonts w:ascii="Arial" w:eastAsia="Calibri" w:hAnsi="Arial" w:cs="Arial"/>
          <w:b/>
          <w:color w:val="04326C"/>
          <w:sz w:val="24"/>
          <w:szCs w:val="24"/>
        </w:rPr>
        <w:t>Vereyken</w:t>
      </w:r>
      <w:proofErr w:type="spellEnd"/>
    </w:p>
    <w:p w:rsidR="00670492" w:rsidRPr="006F5BAC" w:rsidRDefault="001429DF">
      <w:pPr>
        <w:spacing w:after="0"/>
        <w:rPr>
          <w:rFonts w:ascii="Arial" w:eastAsia="Calibri" w:hAnsi="Arial" w:cs="Arial"/>
          <w:color w:val="04326C"/>
          <w:sz w:val="24"/>
          <w:szCs w:val="24"/>
        </w:rPr>
      </w:pPr>
      <w:r w:rsidRPr="006F5BAC">
        <w:rPr>
          <w:rFonts w:ascii="Arial" w:eastAsia="Calibri" w:hAnsi="Arial" w:cs="Arial"/>
          <w:color w:val="04326C"/>
          <w:sz w:val="24"/>
          <w:szCs w:val="24"/>
        </w:rPr>
        <w:t>Title: Placer School for Adults Principal</w:t>
      </w:r>
    </w:p>
    <w:p w:rsidR="00670492" w:rsidRPr="006F5BAC" w:rsidRDefault="001429DF">
      <w:pPr>
        <w:spacing w:after="0"/>
        <w:rPr>
          <w:rFonts w:ascii="Arial" w:eastAsia="Calibri" w:hAnsi="Arial" w:cs="Arial"/>
          <w:color w:val="04326C"/>
          <w:sz w:val="24"/>
          <w:szCs w:val="24"/>
        </w:rPr>
      </w:pPr>
      <w:r w:rsidRPr="006F5BAC">
        <w:rPr>
          <w:rFonts w:ascii="Arial" w:eastAsia="Calibri" w:hAnsi="Arial" w:cs="Arial"/>
          <w:color w:val="04326C"/>
          <w:sz w:val="24"/>
          <w:szCs w:val="24"/>
        </w:rPr>
        <w:t>Phone 530-885-8585 Ext 6006</w:t>
      </w:r>
    </w:p>
    <w:p w:rsidR="00670492" w:rsidRPr="006F5BAC" w:rsidRDefault="001429DF">
      <w:pPr>
        <w:spacing w:after="0"/>
        <w:rPr>
          <w:rFonts w:ascii="Arial" w:eastAsia="Calibri" w:hAnsi="Arial" w:cs="Arial"/>
          <w:color w:val="04326C"/>
          <w:sz w:val="24"/>
          <w:szCs w:val="24"/>
        </w:rPr>
      </w:pPr>
      <w:r w:rsidRPr="006F5BAC">
        <w:rPr>
          <w:rFonts w:ascii="Arial" w:eastAsia="Calibri" w:hAnsi="Arial" w:cs="Arial"/>
          <w:color w:val="04326C"/>
          <w:sz w:val="24"/>
          <w:szCs w:val="24"/>
        </w:rPr>
        <w:t>Email: evereyke@puhsd.k12.ca.us</w:t>
      </w:r>
    </w:p>
    <w:p w:rsidR="00670492" w:rsidRDefault="00670492">
      <w:pPr>
        <w:spacing w:after="0"/>
      </w:pPr>
    </w:p>
    <w:p w:rsidR="00670492" w:rsidRDefault="00670492">
      <w:pPr>
        <w:spacing w:after="0"/>
      </w:pPr>
    </w:p>
    <w:p w:rsidR="00670492" w:rsidRDefault="00670492">
      <w:pPr>
        <w:spacing w:after="0"/>
      </w:pPr>
    </w:p>
    <w:p w:rsidR="00670492" w:rsidRDefault="00670492">
      <w:pPr>
        <w:spacing w:after="0"/>
      </w:pPr>
    </w:p>
    <w:p w:rsidR="00670492" w:rsidRDefault="00670492">
      <w:pPr>
        <w:spacing w:after="0"/>
      </w:pPr>
    </w:p>
    <w:p w:rsidR="00670492" w:rsidRDefault="00670492">
      <w:pPr>
        <w:spacing w:after="0"/>
      </w:pPr>
    </w:p>
    <w:p w:rsidR="00670492" w:rsidRDefault="00670492">
      <w:pPr>
        <w:spacing w:after="0"/>
      </w:pPr>
    </w:p>
    <w:p w:rsidR="00670492" w:rsidRDefault="00670492">
      <w:pPr>
        <w:spacing w:after="0"/>
      </w:pPr>
    </w:p>
    <w:p w:rsidR="00670492" w:rsidRDefault="00670492">
      <w:pPr>
        <w:spacing w:after="0"/>
      </w:pPr>
    </w:p>
    <w:p w:rsidR="00670492" w:rsidRDefault="00670492">
      <w:pPr>
        <w:spacing w:after="0"/>
      </w:pPr>
    </w:p>
    <w:p w:rsidR="00670492" w:rsidRDefault="00670492">
      <w:pPr>
        <w:spacing w:after="0"/>
      </w:pPr>
    </w:p>
    <w:p w:rsidR="00670492" w:rsidRDefault="00670492">
      <w:pPr>
        <w:spacing w:after="0"/>
      </w:pPr>
    </w:p>
    <w:p w:rsidR="00670492" w:rsidRDefault="00670492">
      <w:pPr>
        <w:spacing w:after="0"/>
      </w:pPr>
    </w:p>
    <w:p w:rsidR="00670492" w:rsidRDefault="00670492">
      <w:pPr>
        <w:spacing w:after="0"/>
      </w:pPr>
    </w:p>
    <w:p w:rsidR="00670492" w:rsidRDefault="00670492">
      <w:pPr>
        <w:spacing w:after="0"/>
      </w:pPr>
    </w:p>
    <w:p w:rsidR="00670492" w:rsidRDefault="00670492">
      <w:pPr>
        <w:spacing w:after="0"/>
      </w:pPr>
    </w:p>
    <w:p w:rsidR="00670492" w:rsidRDefault="00670492">
      <w:pPr>
        <w:spacing w:after="0"/>
      </w:pPr>
    </w:p>
    <w:p w:rsidR="00670492" w:rsidRDefault="00670492">
      <w:pPr>
        <w:spacing w:after="0"/>
      </w:pPr>
    </w:p>
    <w:p w:rsidR="00670492" w:rsidRDefault="00670492">
      <w:pPr>
        <w:spacing w:after="0"/>
      </w:pPr>
    </w:p>
    <w:p w:rsidR="00670492" w:rsidRDefault="00670492">
      <w:pPr>
        <w:spacing w:after="0"/>
      </w:pPr>
    </w:p>
    <w:p w:rsidR="00670492" w:rsidRDefault="00670492">
      <w:pPr>
        <w:spacing w:after="0"/>
      </w:pPr>
    </w:p>
    <w:p w:rsidR="00670492" w:rsidRDefault="001429DF">
      <w:pPr>
        <w:spacing w:after="0"/>
      </w:pPr>
      <w:r>
        <w:t>Submitted:</w:t>
      </w:r>
      <w:r w:rsidR="0023607D">
        <w:t xml:space="preserve"> 5-29-2019</w:t>
      </w:r>
    </w:p>
    <w:p w:rsidR="00670492" w:rsidRDefault="001429DF">
      <w:pPr>
        <w:spacing w:after="0"/>
        <w:rPr>
          <w:rFonts w:ascii="Calibri" w:eastAsia="Calibri" w:hAnsi="Calibri" w:cs="Calibri"/>
          <w:color w:val="04326C"/>
          <w:sz w:val="24"/>
          <w:szCs w:val="24"/>
        </w:rPr>
      </w:pPr>
      <w:r>
        <w:rPr>
          <w:rFonts w:ascii="Calibri" w:eastAsia="Calibri" w:hAnsi="Calibri" w:cs="Calibri"/>
          <w:color w:val="04326C"/>
          <w:sz w:val="24"/>
          <w:szCs w:val="24"/>
        </w:rPr>
        <w:t>     </w:t>
      </w:r>
    </w:p>
    <w:p w:rsidR="00670492" w:rsidRDefault="00670492">
      <w:pPr>
        <w:spacing w:after="0"/>
      </w:pPr>
    </w:p>
    <w:p w:rsidR="00670492" w:rsidRDefault="001429DF">
      <w:pPr>
        <w:spacing w:after="0"/>
        <w:rPr>
          <w:rFonts w:ascii="Calibri" w:eastAsia="Calibri" w:hAnsi="Calibri" w:cs="Calibri"/>
          <w:color w:val="0070C0"/>
          <w:sz w:val="24"/>
          <w:szCs w:val="24"/>
        </w:rPr>
      </w:pPr>
      <w:r>
        <w:br w:type="page"/>
      </w:r>
    </w:p>
    <w:p w:rsidR="00670492" w:rsidRPr="0023607D" w:rsidRDefault="001429DF">
      <w:pPr>
        <w:keepNext/>
        <w:keepLines/>
        <w:pBdr>
          <w:top w:val="nil"/>
          <w:left w:val="nil"/>
          <w:bottom w:val="nil"/>
          <w:right w:val="nil"/>
          <w:between w:val="nil"/>
        </w:pBdr>
        <w:spacing w:before="480" w:after="0"/>
        <w:rPr>
          <w:color w:val="auto"/>
          <w:sz w:val="36"/>
          <w:szCs w:val="36"/>
        </w:rPr>
      </w:pPr>
      <w:r w:rsidRPr="0023607D">
        <w:rPr>
          <w:color w:val="auto"/>
          <w:sz w:val="36"/>
          <w:szCs w:val="36"/>
        </w:rPr>
        <w:lastRenderedPageBreak/>
        <w:t>Table of Contents</w:t>
      </w:r>
    </w:p>
    <w:sdt>
      <w:sdtPr>
        <w:id w:val="1063529345"/>
        <w:docPartObj>
          <w:docPartGallery w:val="Table of Contents"/>
          <w:docPartUnique/>
        </w:docPartObj>
      </w:sdtPr>
      <w:sdtContent>
        <w:p w:rsidR="0023607D" w:rsidRPr="0023607D" w:rsidRDefault="001429DF">
          <w:pPr>
            <w:pStyle w:val="TOC1"/>
            <w:tabs>
              <w:tab w:val="right" w:pos="9710"/>
            </w:tabs>
            <w:rPr>
              <w:rFonts w:ascii="Arial" w:eastAsiaTheme="minorEastAsia" w:hAnsi="Arial" w:cs="Arial"/>
              <w:noProof/>
              <w:color w:val="auto"/>
              <w:sz w:val="24"/>
              <w:szCs w:val="24"/>
            </w:rPr>
          </w:pPr>
          <w:r>
            <w:fldChar w:fldCharType="begin"/>
          </w:r>
          <w:r>
            <w:instrText xml:space="preserve"> TOC \h \u \z </w:instrText>
          </w:r>
          <w:r>
            <w:fldChar w:fldCharType="separate"/>
          </w:r>
          <w:hyperlink w:anchor="_Toc10017472" w:history="1">
            <w:r w:rsidR="0023607D" w:rsidRPr="0023607D">
              <w:rPr>
                <w:rStyle w:val="Hyperlink"/>
                <w:rFonts w:ascii="Arial" w:hAnsi="Arial" w:cs="Arial"/>
                <w:noProof/>
                <w:sz w:val="24"/>
                <w:szCs w:val="24"/>
              </w:rPr>
              <w:t>Section 1: Consortium Information</w:t>
            </w:r>
            <w:r w:rsidR="0023607D" w:rsidRPr="0023607D">
              <w:rPr>
                <w:rFonts w:ascii="Arial" w:hAnsi="Arial" w:cs="Arial"/>
                <w:noProof/>
                <w:webHidden/>
                <w:sz w:val="24"/>
                <w:szCs w:val="24"/>
              </w:rPr>
              <w:tab/>
            </w:r>
            <w:r w:rsidR="0023607D" w:rsidRPr="0023607D">
              <w:rPr>
                <w:rFonts w:ascii="Arial" w:hAnsi="Arial" w:cs="Arial"/>
                <w:noProof/>
                <w:webHidden/>
                <w:sz w:val="24"/>
                <w:szCs w:val="24"/>
              </w:rPr>
              <w:fldChar w:fldCharType="begin"/>
            </w:r>
            <w:r w:rsidR="0023607D" w:rsidRPr="0023607D">
              <w:rPr>
                <w:rFonts w:ascii="Arial" w:hAnsi="Arial" w:cs="Arial"/>
                <w:noProof/>
                <w:webHidden/>
                <w:sz w:val="24"/>
                <w:szCs w:val="24"/>
              </w:rPr>
              <w:instrText xml:space="preserve"> PAGEREF _Toc10017472 \h </w:instrText>
            </w:r>
            <w:r w:rsidR="0023607D" w:rsidRPr="0023607D">
              <w:rPr>
                <w:rFonts w:ascii="Arial" w:hAnsi="Arial" w:cs="Arial"/>
                <w:noProof/>
                <w:webHidden/>
                <w:sz w:val="24"/>
                <w:szCs w:val="24"/>
              </w:rPr>
            </w:r>
            <w:r w:rsidR="0023607D" w:rsidRPr="0023607D">
              <w:rPr>
                <w:rFonts w:ascii="Arial" w:hAnsi="Arial" w:cs="Arial"/>
                <w:noProof/>
                <w:webHidden/>
                <w:sz w:val="24"/>
                <w:szCs w:val="24"/>
              </w:rPr>
              <w:fldChar w:fldCharType="separate"/>
            </w:r>
            <w:r w:rsidR="0023607D" w:rsidRPr="0023607D">
              <w:rPr>
                <w:rFonts w:ascii="Arial" w:hAnsi="Arial" w:cs="Arial"/>
                <w:noProof/>
                <w:webHidden/>
                <w:sz w:val="24"/>
                <w:szCs w:val="24"/>
              </w:rPr>
              <w:t>2</w:t>
            </w:r>
            <w:r w:rsidR="0023607D" w:rsidRPr="0023607D">
              <w:rPr>
                <w:rFonts w:ascii="Arial" w:hAnsi="Arial" w:cs="Arial"/>
                <w:noProof/>
                <w:webHidden/>
                <w:sz w:val="24"/>
                <w:szCs w:val="24"/>
              </w:rPr>
              <w:fldChar w:fldCharType="end"/>
            </w:r>
          </w:hyperlink>
        </w:p>
        <w:p w:rsidR="0023607D" w:rsidRPr="0023607D" w:rsidRDefault="0023607D">
          <w:pPr>
            <w:pStyle w:val="TOC1"/>
            <w:tabs>
              <w:tab w:val="right" w:pos="9710"/>
            </w:tabs>
            <w:rPr>
              <w:rFonts w:ascii="Arial" w:eastAsiaTheme="minorEastAsia" w:hAnsi="Arial" w:cs="Arial"/>
              <w:noProof/>
              <w:color w:val="auto"/>
              <w:sz w:val="24"/>
              <w:szCs w:val="24"/>
            </w:rPr>
          </w:pPr>
          <w:hyperlink w:anchor="_Toc10017473" w:history="1">
            <w:r w:rsidRPr="0023607D">
              <w:rPr>
                <w:rStyle w:val="Hyperlink"/>
                <w:rFonts w:ascii="Arial" w:hAnsi="Arial" w:cs="Arial"/>
                <w:noProof/>
                <w:sz w:val="24"/>
                <w:szCs w:val="24"/>
              </w:rPr>
              <w:t>Section 2: Comprehensive Regional Three-Year Plan</w:t>
            </w:r>
            <w:r w:rsidRPr="0023607D">
              <w:rPr>
                <w:rFonts w:ascii="Arial" w:hAnsi="Arial" w:cs="Arial"/>
                <w:noProof/>
                <w:webHidden/>
                <w:sz w:val="24"/>
                <w:szCs w:val="24"/>
              </w:rPr>
              <w:tab/>
            </w:r>
            <w:r w:rsidRPr="0023607D">
              <w:rPr>
                <w:rFonts w:ascii="Arial" w:hAnsi="Arial" w:cs="Arial"/>
                <w:noProof/>
                <w:webHidden/>
                <w:sz w:val="24"/>
                <w:szCs w:val="24"/>
              </w:rPr>
              <w:fldChar w:fldCharType="begin"/>
            </w:r>
            <w:r w:rsidRPr="0023607D">
              <w:rPr>
                <w:rFonts w:ascii="Arial" w:hAnsi="Arial" w:cs="Arial"/>
                <w:noProof/>
                <w:webHidden/>
                <w:sz w:val="24"/>
                <w:szCs w:val="24"/>
              </w:rPr>
              <w:instrText xml:space="preserve"> PAGEREF _Toc10017473 \h </w:instrText>
            </w:r>
            <w:r w:rsidRPr="0023607D">
              <w:rPr>
                <w:rFonts w:ascii="Arial" w:hAnsi="Arial" w:cs="Arial"/>
                <w:noProof/>
                <w:webHidden/>
                <w:sz w:val="24"/>
                <w:szCs w:val="24"/>
              </w:rPr>
            </w:r>
            <w:r w:rsidRPr="0023607D">
              <w:rPr>
                <w:rFonts w:ascii="Arial" w:hAnsi="Arial" w:cs="Arial"/>
                <w:noProof/>
                <w:webHidden/>
                <w:sz w:val="24"/>
                <w:szCs w:val="24"/>
              </w:rPr>
              <w:fldChar w:fldCharType="separate"/>
            </w:r>
            <w:r w:rsidRPr="0023607D">
              <w:rPr>
                <w:rFonts w:ascii="Arial" w:hAnsi="Arial" w:cs="Arial"/>
                <w:noProof/>
                <w:webHidden/>
                <w:sz w:val="24"/>
                <w:szCs w:val="24"/>
              </w:rPr>
              <w:t>5</w:t>
            </w:r>
            <w:r w:rsidRPr="0023607D">
              <w:rPr>
                <w:rFonts w:ascii="Arial" w:hAnsi="Arial" w:cs="Arial"/>
                <w:noProof/>
                <w:webHidden/>
                <w:sz w:val="24"/>
                <w:szCs w:val="24"/>
              </w:rPr>
              <w:fldChar w:fldCharType="end"/>
            </w:r>
          </w:hyperlink>
        </w:p>
        <w:p w:rsidR="0023607D" w:rsidRPr="0023607D" w:rsidRDefault="0023607D">
          <w:pPr>
            <w:pStyle w:val="TOC2"/>
            <w:tabs>
              <w:tab w:val="right" w:pos="9710"/>
            </w:tabs>
            <w:rPr>
              <w:rFonts w:ascii="Arial" w:eastAsiaTheme="minorEastAsia" w:hAnsi="Arial" w:cs="Arial"/>
              <w:noProof/>
              <w:color w:val="auto"/>
              <w:sz w:val="24"/>
              <w:szCs w:val="24"/>
            </w:rPr>
          </w:pPr>
          <w:hyperlink w:anchor="_Toc10017474" w:history="1">
            <w:r w:rsidRPr="0023607D">
              <w:rPr>
                <w:rStyle w:val="Hyperlink"/>
                <w:rFonts w:ascii="Arial" w:hAnsi="Arial" w:cs="Arial"/>
                <w:noProof/>
                <w:sz w:val="24"/>
                <w:szCs w:val="24"/>
              </w:rPr>
              <w:t>2.1 Executive Summary</w:t>
            </w:r>
            <w:r w:rsidRPr="0023607D">
              <w:rPr>
                <w:rFonts w:ascii="Arial" w:hAnsi="Arial" w:cs="Arial"/>
                <w:noProof/>
                <w:webHidden/>
                <w:sz w:val="24"/>
                <w:szCs w:val="24"/>
              </w:rPr>
              <w:tab/>
            </w:r>
            <w:r w:rsidRPr="0023607D">
              <w:rPr>
                <w:rFonts w:ascii="Arial" w:hAnsi="Arial" w:cs="Arial"/>
                <w:noProof/>
                <w:webHidden/>
                <w:sz w:val="24"/>
                <w:szCs w:val="24"/>
              </w:rPr>
              <w:fldChar w:fldCharType="begin"/>
            </w:r>
            <w:r w:rsidRPr="0023607D">
              <w:rPr>
                <w:rFonts w:ascii="Arial" w:hAnsi="Arial" w:cs="Arial"/>
                <w:noProof/>
                <w:webHidden/>
                <w:sz w:val="24"/>
                <w:szCs w:val="24"/>
              </w:rPr>
              <w:instrText xml:space="preserve"> PAGEREF _Toc10017474 \h </w:instrText>
            </w:r>
            <w:r w:rsidRPr="0023607D">
              <w:rPr>
                <w:rFonts w:ascii="Arial" w:hAnsi="Arial" w:cs="Arial"/>
                <w:noProof/>
                <w:webHidden/>
                <w:sz w:val="24"/>
                <w:szCs w:val="24"/>
              </w:rPr>
            </w:r>
            <w:r w:rsidRPr="0023607D">
              <w:rPr>
                <w:rFonts w:ascii="Arial" w:hAnsi="Arial" w:cs="Arial"/>
                <w:noProof/>
                <w:webHidden/>
                <w:sz w:val="24"/>
                <w:szCs w:val="24"/>
              </w:rPr>
              <w:fldChar w:fldCharType="separate"/>
            </w:r>
            <w:r w:rsidRPr="0023607D">
              <w:rPr>
                <w:rFonts w:ascii="Arial" w:hAnsi="Arial" w:cs="Arial"/>
                <w:noProof/>
                <w:webHidden/>
                <w:sz w:val="24"/>
                <w:szCs w:val="24"/>
              </w:rPr>
              <w:t>5</w:t>
            </w:r>
            <w:r w:rsidRPr="0023607D">
              <w:rPr>
                <w:rFonts w:ascii="Arial" w:hAnsi="Arial" w:cs="Arial"/>
                <w:noProof/>
                <w:webHidden/>
                <w:sz w:val="24"/>
                <w:szCs w:val="24"/>
              </w:rPr>
              <w:fldChar w:fldCharType="end"/>
            </w:r>
          </w:hyperlink>
        </w:p>
        <w:p w:rsidR="0023607D" w:rsidRPr="0023607D" w:rsidRDefault="0023607D">
          <w:pPr>
            <w:pStyle w:val="TOC3"/>
            <w:tabs>
              <w:tab w:val="right" w:pos="9710"/>
            </w:tabs>
            <w:rPr>
              <w:rFonts w:ascii="Arial" w:eastAsiaTheme="minorEastAsia" w:hAnsi="Arial" w:cs="Arial"/>
              <w:noProof/>
              <w:color w:val="auto"/>
              <w:sz w:val="24"/>
              <w:szCs w:val="24"/>
            </w:rPr>
          </w:pPr>
          <w:hyperlink w:anchor="_Toc10017475" w:history="1">
            <w:r w:rsidRPr="0023607D">
              <w:rPr>
                <w:rStyle w:val="Hyperlink"/>
                <w:rFonts w:ascii="Arial" w:hAnsi="Arial" w:cs="Arial"/>
                <w:noProof/>
                <w:sz w:val="24"/>
                <w:szCs w:val="24"/>
              </w:rPr>
              <w:t>Table 1. Regional Service Providers</w:t>
            </w:r>
            <w:r w:rsidRPr="0023607D">
              <w:rPr>
                <w:rFonts w:ascii="Arial" w:hAnsi="Arial" w:cs="Arial"/>
                <w:noProof/>
                <w:webHidden/>
                <w:sz w:val="24"/>
                <w:szCs w:val="24"/>
              </w:rPr>
              <w:tab/>
            </w:r>
            <w:r w:rsidRPr="0023607D">
              <w:rPr>
                <w:rFonts w:ascii="Arial" w:hAnsi="Arial" w:cs="Arial"/>
                <w:noProof/>
                <w:webHidden/>
                <w:sz w:val="24"/>
                <w:szCs w:val="24"/>
              </w:rPr>
              <w:fldChar w:fldCharType="begin"/>
            </w:r>
            <w:r w:rsidRPr="0023607D">
              <w:rPr>
                <w:rFonts w:ascii="Arial" w:hAnsi="Arial" w:cs="Arial"/>
                <w:noProof/>
                <w:webHidden/>
                <w:sz w:val="24"/>
                <w:szCs w:val="24"/>
              </w:rPr>
              <w:instrText xml:space="preserve"> PAGEREF _Toc10017475 \h </w:instrText>
            </w:r>
            <w:r w:rsidRPr="0023607D">
              <w:rPr>
                <w:rFonts w:ascii="Arial" w:hAnsi="Arial" w:cs="Arial"/>
                <w:noProof/>
                <w:webHidden/>
                <w:sz w:val="24"/>
                <w:szCs w:val="24"/>
              </w:rPr>
            </w:r>
            <w:r w:rsidRPr="0023607D">
              <w:rPr>
                <w:rFonts w:ascii="Arial" w:hAnsi="Arial" w:cs="Arial"/>
                <w:noProof/>
                <w:webHidden/>
                <w:sz w:val="24"/>
                <w:szCs w:val="24"/>
              </w:rPr>
              <w:fldChar w:fldCharType="separate"/>
            </w:r>
            <w:r w:rsidRPr="0023607D">
              <w:rPr>
                <w:rFonts w:ascii="Arial" w:hAnsi="Arial" w:cs="Arial"/>
                <w:noProof/>
                <w:webHidden/>
                <w:sz w:val="24"/>
                <w:szCs w:val="24"/>
              </w:rPr>
              <w:t>10</w:t>
            </w:r>
            <w:r w:rsidRPr="0023607D">
              <w:rPr>
                <w:rFonts w:ascii="Arial" w:hAnsi="Arial" w:cs="Arial"/>
                <w:noProof/>
                <w:webHidden/>
                <w:sz w:val="24"/>
                <w:szCs w:val="24"/>
              </w:rPr>
              <w:fldChar w:fldCharType="end"/>
            </w:r>
          </w:hyperlink>
        </w:p>
        <w:p w:rsidR="0023607D" w:rsidRPr="0023607D" w:rsidRDefault="0023607D">
          <w:pPr>
            <w:pStyle w:val="TOC3"/>
            <w:tabs>
              <w:tab w:val="right" w:pos="9710"/>
            </w:tabs>
            <w:rPr>
              <w:rFonts w:ascii="Arial" w:eastAsiaTheme="minorEastAsia" w:hAnsi="Arial" w:cs="Arial"/>
              <w:noProof/>
              <w:color w:val="auto"/>
              <w:sz w:val="24"/>
              <w:szCs w:val="24"/>
            </w:rPr>
          </w:pPr>
          <w:hyperlink w:anchor="_Toc10017476" w:history="1">
            <w:r w:rsidRPr="0023607D">
              <w:rPr>
                <w:rStyle w:val="Hyperlink"/>
                <w:rFonts w:ascii="Arial" w:hAnsi="Arial" w:cs="Arial"/>
                <w:noProof/>
                <w:sz w:val="24"/>
                <w:szCs w:val="24"/>
              </w:rPr>
              <w:t>Table 2. Funding for Adult Education Programs and Services</w:t>
            </w:r>
            <w:r w:rsidRPr="0023607D">
              <w:rPr>
                <w:rFonts w:ascii="Arial" w:hAnsi="Arial" w:cs="Arial"/>
                <w:noProof/>
                <w:webHidden/>
                <w:sz w:val="24"/>
                <w:szCs w:val="24"/>
              </w:rPr>
              <w:tab/>
            </w:r>
            <w:r w:rsidRPr="0023607D">
              <w:rPr>
                <w:rFonts w:ascii="Arial" w:hAnsi="Arial" w:cs="Arial"/>
                <w:noProof/>
                <w:webHidden/>
                <w:sz w:val="24"/>
                <w:szCs w:val="24"/>
              </w:rPr>
              <w:fldChar w:fldCharType="begin"/>
            </w:r>
            <w:r w:rsidRPr="0023607D">
              <w:rPr>
                <w:rFonts w:ascii="Arial" w:hAnsi="Arial" w:cs="Arial"/>
                <w:noProof/>
                <w:webHidden/>
                <w:sz w:val="24"/>
                <w:szCs w:val="24"/>
              </w:rPr>
              <w:instrText xml:space="preserve"> PAGEREF _Toc10017476 \h </w:instrText>
            </w:r>
            <w:r w:rsidRPr="0023607D">
              <w:rPr>
                <w:rFonts w:ascii="Arial" w:hAnsi="Arial" w:cs="Arial"/>
                <w:noProof/>
                <w:webHidden/>
                <w:sz w:val="24"/>
                <w:szCs w:val="24"/>
              </w:rPr>
            </w:r>
            <w:r w:rsidRPr="0023607D">
              <w:rPr>
                <w:rFonts w:ascii="Arial" w:hAnsi="Arial" w:cs="Arial"/>
                <w:noProof/>
                <w:webHidden/>
                <w:sz w:val="24"/>
                <w:szCs w:val="24"/>
              </w:rPr>
              <w:fldChar w:fldCharType="separate"/>
            </w:r>
            <w:r w:rsidRPr="0023607D">
              <w:rPr>
                <w:rFonts w:ascii="Arial" w:hAnsi="Arial" w:cs="Arial"/>
                <w:noProof/>
                <w:webHidden/>
                <w:sz w:val="24"/>
                <w:szCs w:val="24"/>
              </w:rPr>
              <w:t>12</w:t>
            </w:r>
            <w:r w:rsidRPr="0023607D">
              <w:rPr>
                <w:rFonts w:ascii="Arial" w:hAnsi="Arial" w:cs="Arial"/>
                <w:noProof/>
                <w:webHidden/>
                <w:sz w:val="24"/>
                <w:szCs w:val="24"/>
              </w:rPr>
              <w:fldChar w:fldCharType="end"/>
            </w:r>
          </w:hyperlink>
        </w:p>
        <w:p w:rsidR="0023607D" w:rsidRPr="0023607D" w:rsidRDefault="0023607D">
          <w:pPr>
            <w:pStyle w:val="TOC2"/>
            <w:tabs>
              <w:tab w:val="right" w:pos="9710"/>
            </w:tabs>
            <w:rPr>
              <w:rFonts w:ascii="Arial" w:eastAsiaTheme="minorEastAsia" w:hAnsi="Arial" w:cs="Arial"/>
              <w:noProof/>
              <w:color w:val="auto"/>
              <w:sz w:val="24"/>
              <w:szCs w:val="24"/>
            </w:rPr>
          </w:pPr>
          <w:hyperlink w:anchor="_Toc10017477" w:history="1">
            <w:r w:rsidRPr="0023607D">
              <w:rPr>
                <w:rStyle w:val="Hyperlink"/>
                <w:rFonts w:ascii="Arial" w:hAnsi="Arial" w:cs="Arial"/>
                <w:noProof/>
                <w:sz w:val="24"/>
                <w:szCs w:val="24"/>
              </w:rPr>
              <w:t>2.3 Community Need and Customers</w:t>
            </w:r>
            <w:r w:rsidRPr="0023607D">
              <w:rPr>
                <w:rFonts w:ascii="Arial" w:hAnsi="Arial" w:cs="Arial"/>
                <w:noProof/>
                <w:webHidden/>
                <w:sz w:val="24"/>
                <w:szCs w:val="24"/>
              </w:rPr>
              <w:tab/>
            </w:r>
            <w:r w:rsidRPr="0023607D">
              <w:rPr>
                <w:rFonts w:ascii="Arial" w:hAnsi="Arial" w:cs="Arial"/>
                <w:noProof/>
                <w:webHidden/>
                <w:sz w:val="24"/>
                <w:szCs w:val="24"/>
              </w:rPr>
              <w:fldChar w:fldCharType="begin"/>
            </w:r>
            <w:r w:rsidRPr="0023607D">
              <w:rPr>
                <w:rFonts w:ascii="Arial" w:hAnsi="Arial" w:cs="Arial"/>
                <w:noProof/>
                <w:webHidden/>
                <w:sz w:val="24"/>
                <w:szCs w:val="24"/>
              </w:rPr>
              <w:instrText xml:space="preserve"> PAGEREF _Toc10017477 \h </w:instrText>
            </w:r>
            <w:r w:rsidRPr="0023607D">
              <w:rPr>
                <w:rFonts w:ascii="Arial" w:hAnsi="Arial" w:cs="Arial"/>
                <w:noProof/>
                <w:webHidden/>
                <w:sz w:val="24"/>
                <w:szCs w:val="24"/>
              </w:rPr>
            </w:r>
            <w:r w:rsidRPr="0023607D">
              <w:rPr>
                <w:rFonts w:ascii="Arial" w:hAnsi="Arial" w:cs="Arial"/>
                <w:noProof/>
                <w:webHidden/>
                <w:sz w:val="24"/>
                <w:szCs w:val="24"/>
              </w:rPr>
              <w:fldChar w:fldCharType="separate"/>
            </w:r>
            <w:r w:rsidRPr="0023607D">
              <w:rPr>
                <w:rFonts w:ascii="Arial" w:hAnsi="Arial" w:cs="Arial"/>
                <w:noProof/>
                <w:webHidden/>
                <w:sz w:val="24"/>
                <w:szCs w:val="24"/>
              </w:rPr>
              <w:t>13</w:t>
            </w:r>
            <w:r w:rsidRPr="0023607D">
              <w:rPr>
                <w:rFonts w:ascii="Arial" w:hAnsi="Arial" w:cs="Arial"/>
                <w:noProof/>
                <w:webHidden/>
                <w:sz w:val="24"/>
                <w:szCs w:val="24"/>
              </w:rPr>
              <w:fldChar w:fldCharType="end"/>
            </w:r>
          </w:hyperlink>
        </w:p>
        <w:p w:rsidR="0023607D" w:rsidRPr="0023607D" w:rsidRDefault="0023607D">
          <w:pPr>
            <w:pStyle w:val="TOC2"/>
            <w:tabs>
              <w:tab w:val="right" w:pos="9710"/>
            </w:tabs>
            <w:rPr>
              <w:rFonts w:ascii="Arial" w:eastAsiaTheme="minorEastAsia" w:hAnsi="Arial" w:cs="Arial"/>
              <w:noProof/>
              <w:color w:val="auto"/>
              <w:sz w:val="24"/>
              <w:szCs w:val="24"/>
            </w:rPr>
          </w:pPr>
          <w:hyperlink w:anchor="_Toc10017478" w:history="1">
            <w:r w:rsidRPr="0023607D">
              <w:rPr>
                <w:rStyle w:val="Hyperlink"/>
                <w:rFonts w:ascii="Arial" w:hAnsi="Arial" w:cs="Arial"/>
                <w:noProof/>
                <w:sz w:val="24"/>
                <w:szCs w:val="24"/>
              </w:rPr>
              <w:t>2.4 Identifying Goals and Strategies</w:t>
            </w:r>
            <w:r w:rsidRPr="0023607D">
              <w:rPr>
                <w:rFonts w:ascii="Arial" w:hAnsi="Arial" w:cs="Arial"/>
                <w:noProof/>
                <w:webHidden/>
                <w:sz w:val="24"/>
                <w:szCs w:val="24"/>
              </w:rPr>
              <w:tab/>
            </w:r>
            <w:r w:rsidRPr="0023607D">
              <w:rPr>
                <w:rFonts w:ascii="Arial" w:hAnsi="Arial" w:cs="Arial"/>
                <w:noProof/>
                <w:webHidden/>
                <w:sz w:val="24"/>
                <w:szCs w:val="24"/>
              </w:rPr>
              <w:fldChar w:fldCharType="begin"/>
            </w:r>
            <w:r w:rsidRPr="0023607D">
              <w:rPr>
                <w:rFonts w:ascii="Arial" w:hAnsi="Arial" w:cs="Arial"/>
                <w:noProof/>
                <w:webHidden/>
                <w:sz w:val="24"/>
                <w:szCs w:val="24"/>
              </w:rPr>
              <w:instrText xml:space="preserve"> PAGEREF _Toc10017478 \h </w:instrText>
            </w:r>
            <w:r w:rsidRPr="0023607D">
              <w:rPr>
                <w:rFonts w:ascii="Arial" w:hAnsi="Arial" w:cs="Arial"/>
                <w:noProof/>
                <w:webHidden/>
                <w:sz w:val="24"/>
                <w:szCs w:val="24"/>
              </w:rPr>
            </w:r>
            <w:r w:rsidRPr="0023607D">
              <w:rPr>
                <w:rFonts w:ascii="Arial" w:hAnsi="Arial" w:cs="Arial"/>
                <w:noProof/>
                <w:webHidden/>
                <w:sz w:val="24"/>
                <w:szCs w:val="24"/>
              </w:rPr>
              <w:fldChar w:fldCharType="separate"/>
            </w:r>
            <w:r w:rsidRPr="0023607D">
              <w:rPr>
                <w:rFonts w:ascii="Arial" w:hAnsi="Arial" w:cs="Arial"/>
                <w:noProof/>
                <w:webHidden/>
                <w:sz w:val="24"/>
                <w:szCs w:val="24"/>
              </w:rPr>
              <w:t>20</w:t>
            </w:r>
            <w:r w:rsidRPr="0023607D">
              <w:rPr>
                <w:rFonts w:ascii="Arial" w:hAnsi="Arial" w:cs="Arial"/>
                <w:noProof/>
                <w:webHidden/>
                <w:sz w:val="24"/>
                <w:szCs w:val="24"/>
              </w:rPr>
              <w:fldChar w:fldCharType="end"/>
            </w:r>
          </w:hyperlink>
        </w:p>
        <w:p w:rsidR="0023607D" w:rsidRPr="0023607D" w:rsidRDefault="0023607D">
          <w:pPr>
            <w:pStyle w:val="TOC3"/>
            <w:tabs>
              <w:tab w:val="right" w:pos="9710"/>
            </w:tabs>
            <w:rPr>
              <w:rFonts w:ascii="Arial" w:eastAsiaTheme="minorEastAsia" w:hAnsi="Arial" w:cs="Arial"/>
              <w:noProof/>
              <w:color w:val="auto"/>
              <w:sz w:val="24"/>
              <w:szCs w:val="24"/>
            </w:rPr>
          </w:pPr>
          <w:hyperlink w:anchor="_Toc10017479" w:history="1">
            <w:r w:rsidRPr="0023607D">
              <w:rPr>
                <w:rStyle w:val="Hyperlink"/>
                <w:rFonts w:ascii="Arial" w:eastAsia="Calibri" w:hAnsi="Arial" w:cs="Arial"/>
                <w:noProof/>
                <w:sz w:val="24"/>
                <w:szCs w:val="24"/>
              </w:rPr>
              <w:t>Consortium-wide Goals for 2019-2012</w:t>
            </w:r>
            <w:r w:rsidRPr="0023607D">
              <w:rPr>
                <w:rFonts w:ascii="Arial" w:hAnsi="Arial" w:cs="Arial"/>
                <w:noProof/>
                <w:webHidden/>
                <w:sz w:val="24"/>
                <w:szCs w:val="24"/>
              </w:rPr>
              <w:tab/>
            </w:r>
            <w:r w:rsidRPr="0023607D">
              <w:rPr>
                <w:rFonts w:ascii="Arial" w:hAnsi="Arial" w:cs="Arial"/>
                <w:noProof/>
                <w:webHidden/>
                <w:sz w:val="24"/>
                <w:szCs w:val="24"/>
              </w:rPr>
              <w:fldChar w:fldCharType="begin"/>
            </w:r>
            <w:r w:rsidRPr="0023607D">
              <w:rPr>
                <w:rFonts w:ascii="Arial" w:hAnsi="Arial" w:cs="Arial"/>
                <w:noProof/>
                <w:webHidden/>
                <w:sz w:val="24"/>
                <w:szCs w:val="24"/>
              </w:rPr>
              <w:instrText xml:space="preserve"> PAGEREF _Toc10017479 \h </w:instrText>
            </w:r>
            <w:r w:rsidRPr="0023607D">
              <w:rPr>
                <w:rFonts w:ascii="Arial" w:hAnsi="Arial" w:cs="Arial"/>
                <w:noProof/>
                <w:webHidden/>
                <w:sz w:val="24"/>
                <w:szCs w:val="24"/>
              </w:rPr>
            </w:r>
            <w:r w:rsidRPr="0023607D">
              <w:rPr>
                <w:rFonts w:ascii="Arial" w:hAnsi="Arial" w:cs="Arial"/>
                <w:noProof/>
                <w:webHidden/>
                <w:sz w:val="24"/>
                <w:szCs w:val="24"/>
              </w:rPr>
              <w:fldChar w:fldCharType="separate"/>
            </w:r>
            <w:r w:rsidRPr="0023607D">
              <w:rPr>
                <w:rFonts w:ascii="Arial" w:hAnsi="Arial" w:cs="Arial"/>
                <w:noProof/>
                <w:webHidden/>
                <w:sz w:val="24"/>
                <w:szCs w:val="24"/>
              </w:rPr>
              <w:t>20</w:t>
            </w:r>
            <w:r w:rsidRPr="0023607D">
              <w:rPr>
                <w:rFonts w:ascii="Arial" w:hAnsi="Arial" w:cs="Arial"/>
                <w:noProof/>
                <w:webHidden/>
                <w:sz w:val="24"/>
                <w:szCs w:val="24"/>
              </w:rPr>
              <w:fldChar w:fldCharType="end"/>
            </w:r>
          </w:hyperlink>
        </w:p>
        <w:p w:rsidR="0023607D" w:rsidRDefault="0023607D">
          <w:pPr>
            <w:pStyle w:val="TOC2"/>
            <w:tabs>
              <w:tab w:val="right" w:pos="9710"/>
            </w:tabs>
            <w:rPr>
              <w:rFonts w:asciiTheme="minorHAnsi" w:eastAsiaTheme="minorEastAsia" w:hAnsiTheme="minorHAnsi" w:cstheme="minorBidi"/>
              <w:noProof/>
              <w:color w:val="auto"/>
            </w:rPr>
          </w:pPr>
          <w:hyperlink w:anchor="_Toc10017496" w:history="1">
            <w:r w:rsidRPr="0023607D">
              <w:rPr>
                <w:rStyle w:val="Hyperlink"/>
                <w:rFonts w:ascii="Arial" w:hAnsi="Arial" w:cs="Arial"/>
                <w:noProof/>
                <w:sz w:val="24"/>
                <w:szCs w:val="24"/>
              </w:rPr>
              <w:t>2.5 Piloting and Implementation</w:t>
            </w:r>
            <w:r w:rsidRPr="0023607D">
              <w:rPr>
                <w:rFonts w:ascii="Arial" w:hAnsi="Arial" w:cs="Arial"/>
                <w:noProof/>
                <w:webHidden/>
                <w:sz w:val="24"/>
                <w:szCs w:val="24"/>
              </w:rPr>
              <w:tab/>
            </w:r>
            <w:r w:rsidRPr="0023607D">
              <w:rPr>
                <w:rFonts w:ascii="Arial" w:hAnsi="Arial" w:cs="Arial"/>
                <w:noProof/>
                <w:webHidden/>
                <w:sz w:val="24"/>
                <w:szCs w:val="24"/>
              </w:rPr>
              <w:fldChar w:fldCharType="begin"/>
            </w:r>
            <w:r w:rsidRPr="0023607D">
              <w:rPr>
                <w:rFonts w:ascii="Arial" w:hAnsi="Arial" w:cs="Arial"/>
                <w:noProof/>
                <w:webHidden/>
                <w:sz w:val="24"/>
                <w:szCs w:val="24"/>
              </w:rPr>
              <w:instrText xml:space="preserve"> PAGEREF _Toc10017496 \h </w:instrText>
            </w:r>
            <w:r w:rsidRPr="0023607D">
              <w:rPr>
                <w:rFonts w:ascii="Arial" w:hAnsi="Arial" w:cs="Arial"/>
                <w:noProof/>
                <w:webHidden/>
                <w:sz w:val="24"/>
                <w:szCs w:val="24"/>
              </w:rPr>
            </w:r>
            <w:r w:rsidRPr="0023607D">
              <w:rPr>
                <w:rFonts w:ascii="Arial" w:hAnsi="Arial" w:cs="Arial"/>
                <w:noProof/>
                <w:webHidden/>
                <w:sz w:val="24"/>
                <w:szCs w:val="24"/>
              </w:rPr>
              <w:fldChar w:fldCharType="separate"/>
            </w:r>
            <w:r w:rsidRPr="0023607D">
              <w:rPr>
                <w:rFonts w:ascii="Arial" w:hAnsi="Arial" w:cs="Arial"/>
                <w:noProof/>
                <w:webHidden/>
                <w:sz w:val="24"/>
                <w:szCs w:val="24"/>
              </w:rPr>
              <w:t>29</w:t>
            </w:r>
            <w:r w:rsidRPr="0023607D">
              <w:rPr>
                <w:rFonts w:ascii="Arial" w:hAnsi="Arial" w:cs="Arial"/>
                <w:noProof/>
                <w:webHidden/>
                <w:sz w:val="24"/>
                <w:szCs w:val="24"/>
              </w:rPr>
              <w:fldChar w:fldCharType="end"/>
            </w:r>
          </w:hyperlink>
        </w:p>
        <w:p w:rsidR="00670492" w:rsidRDefault="001429DF">
          <w:r>
            <w:fldChar w:fldCharType="end"/>
          </w:r>
        </w:p>
      </w:sdtContent>
    </w:sdt>
    <w:p w:rsidR="00670492" w:rsidRDefault="00670492">
      <w:pPr>
        <w:pStyle w:val="Heading1"/>
      </w:pPr>
    </w:p>
    <w:p w:rsidR="00670492" w:rsidRDefault="001429DF">
      <w:pPr>
        <w:widowControl w:val="0"/>
        <w:pBdr>
          <w:top w:val="nil"/>
          <w:left w:val="nil"/>
          <w:bottom w:val="nil"/>
          <w:right w:val="nil"/>
          <w:between w:val="nil"/>
        </w:pBdr>
        <w:spacing w:after="0"/>
        <w:sectPr w:rsidR="00670492">
          <w:type w:val="continuous"/>
          <w:pgSz w:w="12240" w:h="15840"/>
          <w:pgMar w:top="1739" w:right="1080" w:bottom="1440" w:left="1440" w:header="720" w:footer="720" w:gutter="0"/>
          <w:cols w:space="720"/>
        </w:sectPr>
      </w:pPr>
      <w:r>
        <w:br w:type="page"/>
      </w:r>
    </w:p>
    <w:p w:rsidR="00670492" w:rsidRPr="0023607D" w:rsidRDefault="001429DF">
      <w:pPr>
        <w:pStyle w:val="Heading1"/>
        <w:rPr>
          <w:color w:val="auto"/>
        </w:rPr>
      </w:pPr>
      <w:bookmarkStart w:id="8" w:name="_Toc10017473"/>
      <w:r w:rsidRPr="0023607D">
        <w:rPr>
          <w:color w:val="auto"/>
        </w:rPr>
        <w:lastRenderedPageBreak/>
        <w:t>Section 2: Comprehensive Regional Three-Year Plan</w:t>
      </w:r>
      <w:bookmarkEnd w:id="8"/>
    </w:p>
    <w:p w:rsidR="00670492" w:rsidRPr="006F5BAC" w:rsidRDefault="001429DF">
      <w:pPr>
        <w:pStyle w:val="Heading2"/>
        <w:rPr>
          <w:rFonts w:ascii="Arial" w:hAnsi="Arial" w:cs="Arial"/>
          <w:color w:val="auto"/>
        </w:rPr>
      </w:pPr>
      <w:bookmarkStart w:id="9" w:name="_Toc10017474"/>
      <w:r w:rsidRPr="006F5BAC">
        <w:rPr>
          <w:rFonts w:ascii="Arial" w:hAnsi="Arial" w:cs="Arial"/>
          <w:color w:val="auto"/>
        </w:rPr>
        <w:t>2.1 Executive Summary</w:t>
      </w:r>
      <w:bookmarkEnd w:id="9"/>
    </w:p>
    <w:p w:rsidR="00670492" w:rsidRPr="0023607D" w:rsidRDefault="001429DF">
      <w:pPr>
        <w:rPr>
          <w:rFonts w:ascii="Calibri" w:eastAsia="Calibri" w:hAnsi="Calibri" w:cs="Calibri"/>
          <w:color w:val="auto"/>
        </w:rPr>
      </w:pPr>
      <w:bookmarkStart w:id="10" w:name="3dy6vkm" w:colFirst="0" w:colLast="0"/>
      <w:bookmarkEnd w:id="10"/>
      <w:r w:rsidRPr="0023607D">
        <w:rPr>
          <w:rFonts w:ascii="Calibri" w:eastAsia="Calibri" w:hAnsi="Calibri" w:cs="Calibri"/>
          <w:color w:val="auto"/>
          <w:sz w:val="20"/>
          <w:szCs w:val="20"/>
        </w:rPr>
        <w:t>     </w:t>
      </w:r>
    </w:p>
    <w:p w:rsidR="00670492" w:rsidRPr="0023607D" w:rsidRDefault="001429DF">
      <w:pPr>
        <w:pBdr>
          <w:top w:val="nil"/>
          <w:left w:val="nil"/>
          <w:bottom w:val="nil"/>
          <w:right w:val="nil"/>
          <w:between w:val="nil"/>
        </w:pBdr>
        <w:rPr>
          <w:rFonts w:ascii="Arial" w:eastAsia="Calibri" w:hAnsi="Arial" w:cs="Arial"/>
          <w:color w:val="auto"/>
          <w:sz w:val="24"/>
          <w:szCs w:val="24"/>
        </w:rPr>
      </w:pPr>
      <w:bookmarkStart w:id="11" w:name="_37dadz2aq0cc" w:colFirst="0" w:colLast="0"/>
      <w:bookmarkEnd w:id="11"/>
      <w:r w:rsidRPr="0023607D">
        <w:rPr>
          <w:rFonts w:ascii="Arial" w:eastAsia="Calibri" w:hAnsi="Arial" w:cs="Arial"/>
          <w:color w:val="auto"/>
          <w:sz w:val="24"/>
          <w:szCs w:val="24"/>
        </w:rPr>
        <w:t>Looking Back: The Sierra Joint Consortium has made significant progress since the previous planning period. The five schools have grown in a very natural and organic way learning how to be a consortium and work systemically together.  We have increased collaboration with regional partners and operate more like a consortium instead of separate schools in isolation.</w:t>
      </w:r>
    </w:p>
    <w:p w:rsidR="00670492" w:rsidRPr="0023607D" w:rsidRDefault="001429DF">
      <w:pPr>
        <w:pBdr>
          <w:top w:val="nil"/>
          <w:left w:val="nil"/>
          <w:bottom w:val="nil"/>
          <w:right w:val="nil"/>
          <w:between w:val="nil"/>
        </w:pBdr>
        <w:rPr>
          <w:rFonts w:ascii="Arial" w:eastAsia="Calibri" w:hAnsi="Arial" w:cs="Arial"/>
          <w:color w:val="auto"/>
          <w:sz w:val="24"/>
          <w:szCs w:val="24"/>
        </w:rPr>
      </w:pPr>
      <w:bookmarkStart w:id="12" w:name="_tpiadflft59i" w:colFirst="0" w:colLast="0"/>
      <w:bookmarkEnd w:id="12"/>
      <w:r w:rsidRPr="0023607D">
        <w:rPr>
          <w:rFonts w:ascii="Arial" w:eastAsia="Calibri" w:hAnsi="Arial" w:cs="Arial"/>
          <w:color w:val="auto"/>
          <w:sz w:val="24"/>
          <w:szCs w:val="24"/>
        </w:rPr>
        <w:t xml:space="preserve">Our major goal was “Filling the Gaps” and one way to do this was to bring Tahoe-Truckee Unified into the fold. Though they had a small ESL program for several years, they have been able to make great strides by joining the consortium. These include aligning their ESL program, adding GED (including a test center), adding Adult CTE, becoming WIOA II qualified, and adding an Adult Ed team to manage these programs." Simultaneously Nevada Union Adult School, almost in ashes, has been the “Phoenix” in rebuilding with new energy to serve the adult learners in its community. Placer School for Adults launched a new Career Center and opened new campus locations, including an added satellite location in Rocklin (where there was no existing AE site) and an expansion of Inmate Education in two locations. Each new site able to add capacity in the coming years as well.  Roseville Adult School has worked closely with Sierra College to build an ESL Bridge Class, aligning ESL curriculum across the consortium, and is adding new courses each semester. With an overarching goal of “filling the gaps,” each school has developed more courses, with many leading to CTE pathways and industry recognized credentials. </w:t>
      </w:r>
    </w:p>
    <w:p w:rsidR="00670492" w:rsidRPr="0023607D" w:rsidRDefault="001429DF">
      <w:pPr>
        <w:pBdr>
          <w:top w:val="nil"/>
          <w:left w:val="nil"/>
          <w:bottom w:val="nil"/>
          <w:right w:val="nil"/>
          <w:between w:val="nil"/>
        </w:pBdr>
        <w:rPr>
          <w:rFonts w:ascii="Arial" w:eastAsia="Calibri" w:hAnsi="Arial" w:cs="Arial"/>
          <w:color w:val="auto"/>
          <w:sz w:val="24"/>
          <w:szCs w:val="24"/>
        </w:rPr>
      </w:pPr>
      <w:bookmarkStart w:id="13" w:name="_kgcjl2qm50en" w:colFirst="0" w:colLast="0"/>
      <w:bookmarkEnd w:id="13"/>
      <w:r w:rsidRPr="0023607D">
        <w:rPr>
          <w:rFonts w:ascii="Arial" w:eastAsia="Calibri" w:hAnsi="Arial" w:cs="Arial"/>
          <w:color w:val="auto"/>
          <w:sz w:val="24"/>
          <w:szCs w:val="24"/>
        </w:rPr>
        <w:t xml:space="preserve">Tahoe-Truckee has been a model for leveraging and partnering with local businesses. Some examples include </w:t>
      </w:r>
      <w:proofErr w:type="spellStart"/>
      <w:r w:rsidRPr="0023607D">
        <w:rPr>
          <w:rFonts w:ascii="Arial" w:eastAsia="Calibri" w:hAnsi="Arial" w:cs="Arial"/>
          <w:color w:val="auto"/>
          <w:sz w:val="24"/>
          <w:szCs w:val="24"/>
        </w:rPr>
        <w:t>HyTech</w:t>
      </w:r>
      <w:proofErr w:type="spellEnd"/>
      <w:r w:rsidRPr="0023607D">
        <w:rPr>
          <w:rFonts w:ascii="Arial" w:eastAsia="Calibri" w:hAnsi="Arial" w:cs="Arial"/>
          <w:color w:val="auto"/>
          <w:sz w:val="24"/>
          <w:szCs w:val="24"/>
        </w:rPr>
        <w:t xml:space="preserve"> Auto and Smog, Contractors Association of Truckee Tahoe, Truckee Donner Recreation Park District, Roundhouse Makerspace, and Sierra College (Truckee Campus) to offer Adult CTE programs.  TT also collaborates with community partners such as the Boys and Girls Club, Truckee Pines Apartments, Family Resource Centers and Sierra College leveraging facilities and other resources to offer programs that are accessible to underserved and underrepresented populations. </w:t>
      </w:r>
    </w:p>
    <w:p w:rsidR="00670492" w:rsidRPr="0023607D" w:rsidRDefault="001429DF">
      <w:pPr>
        <w:pBdr>
          <w:top w:val="nil"/>
          <w:left w:val="nil"/>
          <w:bottom w:val="nil"/>
          <w:right w:val="nil"/>
          <w:between w:val="nil"/>
        </w:pBdr>
        <w:rPr>
          <w:rFonts w:ascii="Arial" w:eastAsia="Calibri" w:hAnsi="Arial" w:cs="Arial"/>
          <w:color w:val="auto"/>
          <w:sz w:val="24"/>
          <w:szCs w:val="24"/>
        </w:rPr>
      </w:pPr>
      <w:bookmarkStart w:id="14" w:name="_hrb0r11x9c9q" w:colFirst="0" w:colLast="0"/>
      <w:bookmarkEnd w:id="14"/>
      <w:r w:rsidRPr="0023607D">
        <w:rPr>
          <w:rFonts w:ascii="Arial" w:eastAsia="Calibri" w:hAnsi="Arial" w:cs="Arial"/>
          <w:color w:val="auto"/>
          <w:sz w:val="24"/>
          <w:szCs w:val="24"/>
        </w:rPr>
        <w:t xml:space="preserve">Nevada Union Adult School: NUAS and PSA have coordinated live streaming classrooms from Auburn to the Grass Valley region. NUAS has also revamped their ESL curriculum and launched new classes, as well as a new delivery for GED and High School completion. We have opened a free Toddler Care Center </w:t>
      </w:r>
      <w:r w:rsidR="00521425" w:rsidRPr="0023607D">
        <w:rPr>
          <w:rFonts w:ascii="Arial" w:eastAsia="Calibri" w:hAnsi="Arial" w:cs="Arial"/>
          <w:color w:val="auto"/>
          <w:sz w:val="24"/>
          <w:szCs w:val="24"/>
        </w:rPr>
        <w:t>for our</w:t>
      </w:r>
      <w:r w:rsidRPr="0023607D">
        <w:rPr>
          <w:rFonts w:ascii="Arial" w:eastAsia="Calibri" w:hAnsi="Arial" w:cs="Arial"/>
          <w:color w:val="auto"/>
          <w:sz w:val="24"/>
          <w:szCs w:val="24"/>
        </w:rPr>
        <w:t xml:space="preserve"> students. NUAS has expanded its computer course offerings and opened a satellite classroom in south Nevada County. The </w:t>
      </w:r>
      <w:r w:rsidRPr="0023607D">
        <w:rPr>
          <w:rFonts w:ascii="Arial" w:eastAsia="Calibri" w:hAnsi="Arial" w:cs="Arial"/>
          <w:color w:val="auto"/>
          <w:sz w:val="24"/>
          <w:szCs w:val="24"/>
        </w:rPr>
        <w:lastRenderedPageBreak/>
        <w:t>school is working with Sierra College on a math support class to assist in the college’s reduction in remedial math offerings (AB705).</w:t>
      </w:r>
    </w:p>
    <w:p w:rsidR="00670492" w:rsidRPr="0023607D" w:rsidRDefault="001429DF">
      <w:pPr>
        <w:pBdr>
          <w:top w:val="nil"/>
          <w:left w:val="nil"/>
          <w:bottom w:val="nil"/>
          <w:right w:val="nil"/>
          <w:between w:val="nil"/>
        </w:pBdr>
        <w:rPr>
          <w:rFonts w:ascii="Arial" w:eastAsia="Calibri" w:hAnsi="Arial" w:cs="Arial"/>
          <w:color w:val="auto"/>
          <w:sz w:val="24"/>
          <w:szCs w:val="24"/>
        </w:rPr>
      </w:pPr>
      <w:bookmarkStart w:id="15" w:name="_d1je8st30sw6" w:colFirst="0" w:colLast="0"/>
      <w:bookmarkEnd w:id="15"/>
      <w:r w:rsidRPr="0023607D">
        <w:rPr>
          <w:rFonts w:ascii="Arial" w:eastAsia="Calibri" w:hAnsi="Arial" w:cs="Arial"/>
          <w:color w:val="auto"/>
          <w:sz w:val="24"/>
          <w:szCs w:val="24"/>
        </w:rPr>
        <w:t xml:space="preserve">Placer School for Adults: PSA has established a new Career Center when another agency was closing its doors to the public. PSA worked diligently to get other agency partnered coming into the Career Center to support more Work Re-Entry workshops. Significant expansion has happened with Inmate Education. Also relocating the adult school campus to another address to make better use of existing underutilized district spaces, leading to expansion and added capacity now and for the future. PSA is also re-designing many courses to align with the IELCE pathways model. </w:t>
      </w:r>
    </w:p>
    <w:p w:rsidR="00670492" w:rsidRPr="0023607D" w:rsidRDefault="001429DF">
      <w:pPr>
        <w:pBdr>
          <w:top w:val="nil"/>
          <w:left w:val="nil"/>
          <w:bottom w:val="nil"/>
          <w:right w:val="nil"/>
          <w:between w:val="nil"/>
        </w:pBdr>
        <w:rPr>
          <w:rFonts w:ascii="Arial" w:eastAsia="Calibri" w:hAnsi="Arial" w:cs="Arial"/>
          <w:color w:val="auto"/>
          <w:sz w:val="24"/>
          <w:szCs w:val="24"/>
        </w:rPr>
      </w:pPr>
      <w:bookmarkStart w:id="16" w:name="_w2esrl63ea68" w:colFirst="0" w:colLast="0"/>
      <w:bookmarkEnd w:id="16"/>
      <w:r w:rsidRPr="0023607D">
        <w:rPr>
          <w:rFonts w:ascii="Arial" w:eastAsia="Calibri" w:hAnsi="Arial" w:cs="Arial"/>
          <w:color w:val="auto"/>
          <w:sz w:val="24"/>
          <w:szCs w:val="24"/>
        </w:rPr>
        <w:t>Roseville Adult School: RAS led the way to create an ESL Bridge course leading students from Adult Ed on to Sierra College. RAS did a needs assessment of the areas of greatest employment need in the area.  Healthcare workers are needed at all levels and there was not previously a program in the Roseville Area.  Roseville Adult School Started a clinical medical assisting program in Spring of 2018 and has since added 2 sections.  RAS has also launched an IT Essentials program and in August 2019 will start an Auto Shop program that it hopes will fill the gap created by Sierra College closing their program.</w:t>
      </w:r>
    </w:p>
    <w:p w:rsidR="00670492" w:rsidRPr="0023607D" w:rsidRDefault="001429DF">
      <w:pPr>
        <w:pBdr>
          <w:top w:val="nil"/>
          <w:left w:val="nil"/>
          <w:bottom w:val="nil"/>
          <w:right w:val="nil"/>
          <w:between w:val="nil"/>
        </w:pBdr>
        <w:rPr>
          <w:rFonts w:ascii="Arial" w:eastAsia="Calibri" w:hAnsi="Arial" w:cs="Arial"/>
          <w:color w:val="auto"/>
          <w:sz w:val="24"/>
          <w:szCs w:val="24"/>
        </w:rPr>
      </w:pPr>
      <w:bookmarkStart w:id="17" w:name="_87qqtynnf1hy" w:colFirst="0" w:colLast="0"/>
      <w:bookmarkEnd w:id="17"/>
      <w:r w:rsidRPr="0023607D">
        <w:rPr>
          <w:rFonts w:ascii="Arial" w:eastAsia="Calibri" w:hAnsi="Arial" w:cs="Arial"/>
          <w:color w:val="auto"/>
          <w:sz w:val="24"/>
          <w:szCs w:val="24"/>
        </w:rPr>
        <w:t xml:space="preserve">Sierra College: The college has been an active partner in building a pathway for ESL students to transition to post-secondary via the ESL Bridge class with RAS.  Students can now continue on in ESL with tuition-free, repeatable noncredit courses.  They’ve also introduced noncredit courses in English, basic computers and 21st century professional skills. Most recently, faculty from NUAS and Sierra partnered to create adult education math curriculum designed to support students in preparing for transfer into college level math. Sierra has also hosted professional development that supports staff in both the college and adult </w:t>
      </w:r>
      <w:proofErr w:type="spellStart"/>
      <w:r w:rsidRPr="0023607D">
        <w:rPr>
          <w:rFonts w:ascii="Arial" w:eastAsia="Calibri" w:hAnsi="Arial" w:cs="Arial"/>
          <w:color w:val="auto"/>
          <w:sz w:val="24"/>
          <w:szCs w:val="24"/>
        </w:rPr>
        <w:t>ed</w:t>
      </w:r>
      <w:proofErr w:type="spellEnd"/>
      <w:r w:rsidRPr="0023607D">
        <w:rPr>
          <w:rFonts w:ascii="Arial" w:eastAsia="Calibri" w:hAnsi="Arial" w:cs="Arial"/>
          <w:color w:val="auto"/>
          <w:sz w:val="24"/>
          <w:szCs w:val="24"/>
        </w:rPr>
        <w:t xml:space="preserve"> landscapes. </w:t>
      </w:r>
    </w:p>
    <w:p w:rsidR="00670492" w:rsidRPr="0023607D" w:rsidRDefault="001429DF">
      <w:pPr>
        <w:pBdr>
          <w:top w:val="nil"/>
          <w:left w:val="nil"/>
          <w:bottom w:val="nil"/>
          <w:right w:val="nil"/>
          <w:between w:val="nil"/>
        </w:pBdr>
        <w:rPr>
          <w:rFonts w:ascii="Arial" w:eastAsia="Calibri" w:hAnsi="Arial" w:cs="Arial"/>
          <w:color w:val="auto"/>
          <w:sz w:val="24"/>
          <w:szCs w:val="24"/>
        </w:rPr>
      </w:pPr>
      <w:bookmarkStart w:id="18" w:name="_7pdo9t52cc2n" w:colFirst="0" w:colLast="0"/>
      <w:bookmarkEnd w:id="18"/>
      <w:r w:rsidRPr="0023607D">
        <w:rPr>
          <w:rFonts w:ascii="Arial" w:eastAsia="Calibri" w:hAnsi="Arial" w:cs="Arial"/>
          <w:color w:val="auto"/>
          <w:sz w:val="24"/>
          <w:szCs w:val="24"/>
        </w:rPr>
        <w:t>Another goal was to do asset-mapping and incorporate this into a consortium-wide website (</w:t>
      </w:r>
      <w:hyperlink r:id="rId11">
        <w:r w:rsidRPr="0023607D">
          <w:rPr>
            <w:rFonts w:ascii="Arial" w:eastAsia="Calibri" w:hAnsi="Arial" w:cs="Arial"/>
            <w:color w:val="auto"/>
            <w:sz w:val="24"/>
            <w:szCs w:val="24"/>
          </w:rPr>
          <w:t>www.SierraASSETS.org</w:t>
        </w:r>
      </w:hyperlink>
      <w:r w:rsidRPr="0023607D">
        <w:rPr>
          <w:rFonts w:ascii="Arial" w:eastAsia="Calibri" w:hAnsi="Arial" w:cs="Arial"/>
          <w:color w:val="auto"/>
          <w:sz w:val="24"/>
          <w:szCs w:val="24"/>
        </w:rPr>
        <w:t xml:space="preserve">).  The intent is to support the region globally by listing each site and the classes and resources in the region. </w:t>
      </w:r>
    </w:p>
    <w:p w:rsidR="00670492" w:rsidRPr="0023607D" w:rsidRDefault="001429DF">
      <w:pPr>
        <w:pBdr>
          <w:top w:val="nil"/>
          <w:left w:val="nil"/>
          <w:bottom w:val="nil"/>
          <w:right w:val="nil"/>
          <w:between w:val="nil"/>
        </w:pBdr>
        <w:rPr>
          <w:rFonts w:ascii="Arial" w:eastAsia="Calibri" w:hAnsi="Arial" w:cs="Arial"/>
          <w:color w:val="auto"/>
          <w:sz w:val="24"/>
          <w:szCs w:val="24"/>
        </w:rPr>
      </w:pPr>
      <w:bookmarkStart w:id="19" w:name="_u8q66fv5hey" w:colFirst="0" w:colLast="0"/>
      <w:bookmarkEnd w:id="19"/>
      <w:r w:rsidRPr="0023607D">
        <w:rPr>
          <w:rFonts w:ascii="Arial" w:eastAsia="Calibri" w:hAnsi="Arial" w:cs="Arial"/>
          <w:color w:val="auto"/>
          <w:sz w:val="24"/>
          <w:szCs w:val="24"/>
        </w:rPr>
        <w:t xml:space="preserve">We also made substantial progress with “Leveraging Resources.”  PSA and NUAS have joined efforts to provide several </w:t>
      </w:r>
      <w:r w:rsidR="00521425" w:rsidRPr="0023607D">
        <w:rPr>
          <w:rFonts w:ascii="Arial" w:eastAsia="Calibri" w:hAnsi="Arial" w:cs="Arial"/>
          <w:color w:val="auto"/>
          <w:sz w:val="24"/>
          <w:szCs w:val="24"/>
        </w:rPr>
        <w:t>introductions</w:t>
      </w:r>
      <w:r w:rsidRPr="0023607D">
        <w:rPr>
          <w:rFonts w:ascii="Arial" w:eastAsia="Calibri" w:hAnsi="Arial" w:cs="Arial"/>
          <w:color w:val="auto"/>
          <w:sz w:val="24"/>
          <w:szCs w:val="24"/>
        </w:rPr>
        <w:t xml:space="preserve"> to technology courses streaming from Auburn into Grass Valley each week. There has also been a joint effort to market both programs in one catalog in an effort to reach more people that might find their way between each school as well as discover that NUAS is roaring back from its near collapse into non-existence.  RAS has reached out to a local automotive shop to house a new CTE automotive strand. TT has leveraged resources with </w:t>
      </w:r>
      <w:proofErr w:type="spellStart"/>
      <w:r w:rsidRPr="0023607D">
        <w:rPr>
          <w:rFonts w:ascii="Arial" w:eastAsia="Calibri" w:hAnsi="Arial" w:cs="Arial"/>
          <w:color w:val="auto"/>
          <w:sz w:val="24"/>
          <w:szCs w:val="24"/>
        </w:rPr>
        <w:t>HyTech</w:t>
      </w:r>
      <w:proofErr w:type="spellEnd"/>
      <w:r w:rsidRPr="0023607D">
        <w:rPr>
          <w:rFonts w:ascii="Arial" w:eastAsia="Calibri" w:hAnsi="Arial" w:cs="Arial"/>
          <w:color w:val="auto"/>
          <w:sz w:val="24"/>
          <w:szCs w:val="24"/>
        </w:rPr>
        <w:t xml:space="preserve"> Auto &amp; Smog to support their automotive program. PSA has partnered with Placer County Employment Agency to deliver content to more students than could have otherwise been served. A new satellite location opened in </w:t>
      </w:r>
      <w:r w:rsidRPr="0023607D">
        <w:rPr>
          <w:rFonts w:ascii="Arial" w:eastAsia="Calibri" w:hAnsi="Arial" w:cs="Arial"/>
          <w:color w:val="auto"/>
          <w:sz w:val="24"/>
          <w:szCs w:val="24"/>
        </w:rPr>
        <w:lastRenderedPageBreak/>
        <w:t xml:space="preserve">Rocklin at the Destiny Community Center to serve more ESL and CTE needs. Sierra has leveraged Strong Workforce and Perkins funds to support ESL and CTE noncredit pathway development.  </w:t>
      </w:r>
    </w:p>
    <w:p w:rsidR="00670492" w:rsidRPr="0023607D" w:rsidRDefault="001429DF">
      <w:pPr>
        <w:pBdr>
          <w:top w:val="nil"/>
          <w:left w:val="nil"/>
          <w:bottom w:val="nil"/>
          <w:right w:val="nil"/>
          <w:between w:val="nil"/>
        </w:pBdr>
        <w:rPr>
          <w:rFonts w:ascii="Arial" w:eastAsia="Calibri" w:hAnsi="Arial" w:cs="Arial"/>
          <w:color w:val="auto"/>
          <w:sz w:val="24"/>
          <w:szCs w:val="24"/>
        </w:rPr>
      </w:pPr>
      <w:bookmarkStart w:id="20" w:name="_v90g4dlt66jm" w:colFirst="0" w:colLast="0"/>
      <w:bookmarkEnd w:id="20"/>
      <w:r w:rsidRPr="0023607D">
        <w:rPr>
          <w:rFonts w:ascii="Arial" w:eastAsia="Calibri" w:hAnsi="Arial" w:cs="Arial"/>
          <w:color w:val="auto"/>
          <w:sz w:val="24"/>
          <w:szCs w:val="24"/>
        </w:rPr>
        <w:t xml:space="preserve">“Professional development”: The consortium has been proactive to build and deliver more professional development than ever before. All of the professional development was created and delivered in a way that all schools could participate and benefit. Some examples of professional development included; the first AE Google Summit that reached out to invite others from around the state, the New World of Work 21st Century Skills, the CALPRO “Integrated Pathways”, alignment of ESL curriculum, WIOA practices across agencies utilizing local expertise to support new WIOA launching and/or new staff in TT and NUAS, a Counselor Symposiums, and to support the local workforce efforts a regional WIOA Agency Cross Training day. </w:t>
      </w:r>
    </w:p>
    <w:p w:rsidR="00670492" w:rsidRPr="0023607D" w:rsidRDefault="001429DF">
      <w:pPr>
        <w:pBdr>
          <w:top w:val="nil"/>
          <w:left w:val="nil"/>
          <w:bottom w:val="nil"/>
          <w:right w:val="nil"/>
          <w:between w:val="nil"/>
        </w:pBdr>
        <w:rPr>
          <w:rFonts w:ascii="Arial" w:eastAsia="Calibri" w:hAnsi="Arial" w:cs="Arial"/>
          <w:color w:val="auto"/>
          <w:sz w:val="24"/>
          <w:szCs w:val="24"/>
        </w:rPr>
      </w:pPr>
      <w:bookmarkStart w:id="21" w:name="_qjko97vdo4fh" w:colFirst="0" w:colLast="0"/>
      <w:bookmarkEnd w:id="21"/>
      <w:r w:rsidRPr="0023607D">
        <w:rPr>
          <w:rFonts w:ascii="Arial" w:eastAsia="Calibri" w:hAnsi="Arial" w:cs="Arial"/>
          <w:color w:val="auto"/>
          <w:sz w:val="24"/>
          <w:szCs w:val="24"/>
        </w:rPr>
        <w:t xml:space="preserve">Impact to the region: The new visioning and re-engineering of the consortium has </w:t>
      </w:r>
      <w:r w:rsidR="0023607D" w:rsidRPr="0023607D">
        <w:rPr>
          <w:rFonts w:ascii="Arial" w:eastAsia="Calibri" w:hAnsi="Arial" w:cs="Arial"/>
          <w:color w:val="auto"/>
          <w:sz w:val="24"/>
          <w:szCs w:val="24"/>
        </w:rPr>
        <w:t>led</w:t>
      </w:r>
      <w:r w:rsidRPr="0023607D">
        <w:rPr>
          <w:rFonts w:ascii="Arial" w:eastAsia="Calibri" w:hAnsi="Arial" w:cs="Arial"/>
          <w:color w:val="auto"/>
          <w:sz w:val="24"/>
          <w:szCs w:val="24"/>
        </w:rPr>
        <w:t xml:space="preserve"> to a significant reinvigoration and revitalization of an Adult Education presence in the regi</w:t>
      </w:r>
      <w:r w:rsidR="0023607D" w:rsidRPr="0023607D">
        <w:rPr>
          <w:rFonts w:ascii="Arial" w:eastAsia="Calibri" w:hAnsi="Arial" w:cs="Arial"/>
          <w:color w:val="auto"/>
          <w:sz w:val="24"/>
          <w:szCs w:val="24"/>
        </w:rPr>
        <w:t>on, development of a consortium-</w:t>
      </w:r>
      <w:r w:rsidRPr="0023607D">
        <w:rPr>
          <w:rFonts w:ascii="Arial" w:eastAsia="Calibri" w:hAnsi="Arial" w:cs="Arial"/>
          <w:color w:val="auto"/>
          <w:sz w:val="24"/>
          <w:szCs w:val="24"/>
        </w:rPr>
        <w:t>model that leverages regional partner strengths, and exponential increase in course offerings for adults in the region aligned to college and career readiness.</w:t>
      </w:r>
    </w:p>
    <w:p w:rsidR="00670492" w:rsidRPr="0023607D" w:rsidRDefault="001429DF">
      <w:pPr>
        <w:pBdr>
          <w:top w:val="nil"/>
          <w:left w:val="nil"/>
          <w:bottom w:val="nil"/>
          <w:right w:val="nil"/>
          <w:between w:val="nil"/>
        </w:pBdr>
        <w:rPr>
          <w:rFonts w:ascii="Arial" w:eastAsia="Calibri" w:hAnsi="Arial" w:cs="Arial"/>
          <w:color w:val="auto"/>
          <w:sz w:val="24"/>
          <w:szCs w:val="24"/>
        </w:rPr>
      </w:pPr>
      <w:bookmarkStart w:id="22" w:name="_n15trn6zvg0o" w:colFirst="0" w:colLast="0"/>
      <w:bookmarkEnd w:id="22"/>
      <w:r w:rsidRPr="0023607D">
        <w:rPr>
          <w:rFonts w:ascii="Arial" w:eastAsia="Calibri" w:hAnsi="Arial" w:cs="Arial"/>
          <w:color w:val="auto"/>
          <w:sz w:val="24"/>
          <w:szCs w:val="24"/>
        </w:rPr>
        <w:t xml:space="preserve">Looking Ahead:  Over the next three year planning cycle, our vision is to maintain existing successful programs, expand offerings and access to more of the region and foster student success in their career and educational goals whether that be completion of a </w:t>
      </w:r>
      <w:r w:rsidR="0023607D" w:rsidRPr="0023607D">
        <w:rPr>
          <w:rFonts w:ascii="Arial" w:eastAsia="Calibri" w:hAnsi="Arial" w:cs="Arial"/>
          <w:color w:val="auto"/>
          <w:sz w:val="24"/>
          <w:szCs w:val="24"/>
        </w:rPr>
        <w:t>three-hour</w:t>
      </w:r>
      <w:r w:rsidRPr="0023607D">
        <w:rPr>
          <w:rFonts w:ascii="Arial" w:eastAsia="Calibri" w:hAnsi="Arial" w:cs="Arial"/>
          <w:color w:val="auto"/>
          <w:sz w:val="24"/>
          <w:szCs w:val="24"/>
        </w:rPr>
        <w:t xml:space="preserve"> resume workshop, a high school diploma, industry certification or to transfer to post-secondary.  Key indicators for progress will include an increased number of adult students served across all consortium member schools, added partnerships with local employers, expansion of targeted/relevant courses and programs and a greater number of our students reporting they are attaining their education and career goals. </w:t>
      </w:r>
    </w:p>
    <w:p w:rsidR="00670492" w:rsidRPr="0023607D" w:rsidRDefault="001429DF">
      <w:pPr>
        <w:pBdr>
          <w:top w:val="nil"/>
          <w:left w:val="nil"/>
          <w:bottom w:val="nil"/>
          <w:right w:val="nil"/>
          <w:between w:val="nil"/>
        </w:pBdr>
        <w:rPr>
          <w:rFonts w:ascii="Arial" w:eastAsia="Calibri" w:hAnsi="Arial" w:cs="Arial"/>
          <w:color w:val="auto"/>
          <w:sz w:val="24"/>
          <w:szCs w:val="24"/>
        </w:rPr>
      </w:pPr>
      <w:bookmarkStart w:id="23" w:name="_hl9j36wfmuq3" w:colFirst="0" w:colLast="0"/>
      <w:bookmarkEnd w:id="23"/>
      <w:r w:rsidRPr="0023607D">
        <w:rPr>
          <w:rFonts w:ascii="Arial" w:eastAsia="Calibri" w:hAnsi="Arial" w:cs="Arial"/>
          <w:color w:val="auto"/>
          <w:sz w:val="24"/>
          <w:szCs w:val="24"/>
        </w:rPr>
        <w:t xml:space="preserve">Our plan builds on our previous goals </w:t>
      </w:r>
      <w:r w:rsidR="0023607D" w:rsidRPr="0023607D">
        <w:rPr>
          <w:rFonts w:ascii="Arial" w:eastAsia="Calibri" w:hAnsi="Arial" w:cs="Arial"/>
          <w:color w:val="auto"/>
          <w:sz w:val="24"/>
          <w:szCs w:val="24"/>
        </w:rPr>
        <w:t>including “filling</w:t>
      </w:r>
      <w:r w:rsidRPr="0023607D">
        <w:rPr>
          <w:rFonts w:ascii="Arial" w:eastAsia="Calibri" w:hAnsi="Arial" w:cs="Arial"/>
          <w:color w:val="auto"/>
          <w:sz w:val="24"/>
          <w:szCs w:val="24"/>
        </w:rPr>
        <w:t xml:space="preserve"> gaps” by expanding program and course offerings in remote and/or underserved locations within our consortium boundaries.  We’ve identified areas such as Rocklin and Lincoln that lack adult education programs in their districts and have a high need for ESL and career training.  We also find that services are limited in rural Western Nevada County due to geography and small populations, yet there is a need for English language education, basic computer training and more.  Additionally, preparing students for the workforce remains a primary goal.  We’ll continue to develop industry partnerships and expand training programs that lead to high demand jobs in our region.  Through the community needs assessment process and labor market fact sheet, we’ve identified key industry sectors such as healthcare, construction and office administration and will continue to work with employers and job placement partners to develop needed career pathways.</w:t>
      </w:r>
    </w:p>
    <w:p w:rsidR="00670492" w:rsidRPr="0023607D" w:rsidRDefault="001429DF">
      <w:pPr>
        <w:pBdr>
          <w:top w:val="nil"/>
          <w:left w:val="nil"/>
          <w:bottom w:val="nil"/>
          <w:right w:val="nil"/>
          <w:between w:val="nil"/>
        </w:pBdr>
        <w:rPr>
          <w:rFonts w:ascii="Arial" w:eastAsia="Calibri" w:hAnsi="Arial" w:cs="Arial"/>
          <w:color w:val="auto"/>
          <w:sz w:val="24"/>
          <w:szCs w:val="24"/>
        </w:rPr>
      </w:pPr>
      <w:bookmarkStart w:id="24" w:name="_l9qjfe5ex47" w:colFirst="0" w:colLast="0"/>
      <w:bookmarkEnd w:id="24"/>
      <w:r w:rsidRPr="0023607D">
        <w:rPr>
          <w:rFonts w:ascii="Arial" w:eastAsia="Calibri" w:hAnsi="Arial" w:cs="Arial"/>
          <w:color w:val="auto"/>
          <w:sz w:val="24"/>
          <w:szCs w:val="24"/>
        </w:rPr>
        <w:lastRenderedPageBreak/>
        <w:t>Finally, now that we have established relationships, communication and collaboration as a regional team, we see opportunity to work together on more consortium-wide projects to address common student barriers to success.  For example, math skills, or lack of, repeatedly rises to the top of consortium meeting discussions and with counselors across all partner schools.  We are taking the first steps in identifying best practices and curriculum needs to address this issue. We hope to pilot efforts that can be rolled out consortium wide.  Similarly, we find that too few adult education students see post-secondary education as attainable.  Exploring successful practices across the state that have fostered these transitions, we will create an implementation plan that we hope will lead to improved student awareness about career education opportunities and easier on-boarding processes at Sierra College (or other post-secondary institutions) all resulting in increased rates of transfer.</w:t>
      </w:r>
    </w:p>
    <w:p w:rsidR="00670492" w:rsidRDefault="00670492">
      <w:pPr>
        <w:pBdr>
          <w:top w:val="nil"/>
          <w:left w:val="nil"/>
          <w:bottom w:val="nil"/>
          <w:right w:val="nil"/>
          <w:between w:val="nil"/>
        </w:pBdr>
        <w:rPr>
          <w:i/>
          <w:color w:val="980000"/>
          <w:sz w:val="28"/>
          <w:szCs w:val="28"/>
        </w:rPr>
      </w:pPr>
    </w:p>
    <w:p w:rsidR="00670492" w:rsidRPr="00521425" w:rsidRDefault="001429DF">
      <w:pPr>
        <w:pBdr>
          <w:top w:val="nil"/>
          <w:left w:val="nil"/>
          <w:bottom w:val="nil"/>
          <w:right w:val="nil"/>
          <w:between w:val="nil"/>
        </w:pBdr>
        <w:rPr>
          <w:rFonts w:ascii="Arial" w:eastAsia="Calibri" w:hAnsi="Arial" w:cs="Arial"/>
          <w:i/>
          <w:color w:val="auto"/>
          <w:sz w:val="24"/>
          <w:szCs w:val="24"/>
        </w:rPr>
      </w:pPr>
      <w:r w:rsidRPr="00521425">
        <w:rPr>
          <w:rFonts w:ascii="Arial" w:eastAsia="Calibri" w:hAnsi="Arial" w:cs="Arial"/>
          <w:i/>
          <w:color w:val="auto"/>
          <w:sz w:val="24"/>
          <w:szCs w:val="24"/>
        </w:rPr>
        <w:t>2.2 Pre-Planning Assessment</w:t>
      </w:r>
    </w:p>
    <w:p w:rsidR="00670492" w:rsidRPr="00521425" w:rsidRDefault="001429DF">
      <w:pPr>
        <w:pBdr>
          <w:top w:val="nil"/>
          <w:left w:val="nil"/>
          <w:bottom w:val="nil"/>
          <w:right w:val="nil"/>
          <w:between w:val="nil"/>
        </w:pBdr>
        <w:rPr>
          <w:rFonts w:ascii="Arial" w:eastAsia="Calibri" w:hAnsi="Arial" w:cs="Arial"/>
          <w:i/>
          <w:color w:val="auto"/>
          <w:sz w:val="24"/>
          <w:szCs w:val="24"/>
        </w:rPr>
      </w:pPr>
      <w:r w:rsidRPr="00521425">
        <w:rPr>
          <w:rFonts w:ascii="Arial" w:eastAsia="Calibri" w:hAnsi="Arial" w:cs="Arial"/>
          <w:i/>
          <w:color w:val="auto"/>
          <w:sz w:val="24"/>
          <w:szCs w:val="24"/>
        </w:rPr>
        <w:t xml:space="preserve">Directions: In the Pre-Planning Assessment, you will identify: </w:t>
      </w:r>
    </w:p>
    <w:p w:rsidR="00670492" w:rsidRPr="00521425" w:rsidRDefault="00670492">
      <w:pPr>
        <w:pBdr>
          <w:top w:val="nil"/>
          <w:left w:val="nil"/>
          <w:bottom w:val="nil"/>
          <w:right w:val="nil"/>
          <w:between w:val="nil"/>
        </w:pBdr>
        <w:rPr>
          <w:rFonts w:ascii="Arial" w:eastAsia="Calibri" w:hAnsi="Arial" w:cs="Arial"/>
          <w:i/>
          <w:color w:val="auto"/>
          <w:sz w:val="24"/>
          <w:szCs w:val="24"/>
        </w:rPr>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5"/>
        <w:gridCol w:w="2535"/>
        <w:gridCol w:w="1890"/>
      </w:tblGrid>
      <w:tr w:rsidR="00670492" w:rsidRPr="00521425">
        <w:tc>
          <w:tcPr>
            <w:tcW w:w="5295" w:type="dxa"/>
            <w:tcMar>
              <w:top w:w="20" w:type="dxa"/>
              <w:left w:w="20" w:type="dxa"/>
              <w:bottom w:w="100" w:type="dxa"/>
              <w:right w:w="20" w:type="dxa"/>
            </w:tcMar>
          </w:tcPr>
          <w:p w:rsidR="00670492" w:rsidRPr="00521425" w:rsidRDefault="001429DF">
            <w:pPr>
              <w:pBdr>
                <w:top w:val="nil"/>
                <w:left w:val="nil"/>
                <w:bottom w:val="nil"/>
                <w:right w:val="nil"/>
                <w:between w:val="nil"/>
              </w:pBdr>
              <w:rPr>
                <w:rFonts w:ascii="Arial" w:eastAsia="Calibri" w:hAnsi="Arial" w:cs="Arial"/>
                <w:i/>
                <w:color w:val="auto"/>
                <w:sz w:val="24"/>
                <w:szCs w:val="24"/>
              </w:rPr>
            </w:pPr>
            <w:r w:rsidRPr="00521425">
              <w:rPr>
                <w:rFonts w:ascii="Arial" w:eastAsia="Calibri" w:hAnsi="Arial" w:cs="Arial"/>
                <w:i/>
                <w:color w:val="auto"/>
                <w:sz w:val="24"/>
                <w:szCs w:val="24"/>
              </w:rPr>
              <w:t>Member Agency</w:t>
            </w:r>
          </w:p>
        </w:tc>
        <w:tc>
          <w:tcPr>
            <w:tcW w:w="2535" w:type="dxa"/>
            <w:tcMar>
              <w:top w:w="20" w:type="dxa"/>
              <w:left w:w="20" w:type="dxa"/>
              <w:bottom w:w="100" w:type="dxa"/>
              <w:right w:w="20" w:type="dxa"/>
            </w:tcMar>
          </w:tcPr>
          <w:p w:rsidR="00670492" w:rsidRPr="00521425" w:rsidRDefault="001429DF">
            <w:pPr>
              <w:pBdr>
                <w:top w:val="nil"/>
                <w:left w:val="nil"/>
                <w:bottom w:val="nil"/>
                <w:right w:val="nil"/>
                <w:between w:val="nil"/>
              </w:pBdr>
              <w:rPr>
                <w:rFonts w:ascii="Arial" w:eastAsia="Calibri" w:hAnsi="Arial" w:cs="Arial"/>
                <w:i/>
                <w:color w:val="auto"/>
                <w:sz w:val="24"/>
                <w:szCs w:val="24"/>
              </w:rPr>
            </w:pPr>
            <w:r w:rsidRPr="00521425">
              <w:rPr>
                <w:rFonts w:ascii="Arial" w:eastAsia="Calibri" w:hAnsi="Arial" w:cs="Arial"/>
                <w:i/>
                <w:color w:val="auto"/>
                <w:sz w:val="24"/>
                <w:szCs w:val="24"/>
              </w:rPr>
              <w:t>Total Program Area Hours*</w:t>
            </w:r>
          </w:p>
        </w:tc>
        <w:tc>
          <w:tcPr>
            <w:tcW w:w="1890" w:type="dxa"/>
            <w:tcMar>
              <w:top w:w="20" w:type="dxa"/>
              <w:left w:w="20" w:type="dxa"/>
              <w:bottom w:w="100" w:type="dxa"/>
              <w:right w:w="20" w:type="dxa"/>
            </w:tcMar>
          </w:tcPr>
          <w:p w:rsidR="00670492" w:rsidRPr="00521425" w:rsidRDefault="001429DF">
            <w:pPr>
              <w:pBdr>
                <w:top w:val="nil"/>
                <w:left w:val="nil"/>
                <w:bottom w:val="nil"/>
                <w:right w:val="nil"/>
                <w:between w:val="nil"/>
              </w:pBdr>
              <w:rPr>
                <w:rFonts w:ascii="Arial" w:eastAsia="Calibri" w:hAnsi="Arial" w:cs="Arial"/>
                <w:i/>
                <w:color w:val="auto"/>
                <w:sz w:val="24"/>
                <w:szCs w:val="24"/>
              </w:rPr>
            </w:pPr>
            <w:r w:rsidRPr="00521425">
              <w:rPr>
                <w:rFonts w:ascii="Arial" w:eastAsia="Calibri" w:hAnsi="Arial" w:cs="Arial"/>
                <w:i/>
                <w:color w:val="auto"/>
                <w:sz w:val="24"/>
                <w:szCs w:val="24"/>
              </w:rPr>
              <w:t>Total Leveraged Funds**</w:t>
            </w:r>
          </w:p>
        </w:tc>
      </w:tr>
      <w:tr w:rsidR="00670492" w:rsidRPr="00521425">
        <w:tc>
          <w:tcPr>
            <w:tcW w:w="5295" w:type="dxa"/>
            <w:tcMar>
              <w:top w:w="20" w:type="dxa"/>
              <w:left w:w="20" w:type="dxa"/>
              <w:bottom w:w="100" w:type="dxa"/>
              <w:right w:w="20" w:type="dxa"/>
            </w:tcMar>
            <w:vAlign w:val="bottom"/>
          </w:tcPr>
          <w:p w:rsidR="00670492" w:rsidRPr="00521425" w:rsidRDefault="001429DF">
            <w:pPr>
              <w:pBdr>
                <w:top w:val="nil"/>
                <w:left w:val="nil"/>
                <w:bottom w:val="nil"/>
                <w:right w:val="nil"/>
                <w:between w:val="nil"/>
              </w:pBdr>
              <w:rPr>
                <w:rFonts w:ascii="Arial" w:eastAsia="Calibri" w:hAnsi="Arial" w:cs="Arial"/>
                <w:i/>
                <w:color w:val="auto"/>
                <w:sz w:val="24"/>
                <w:szCs w:val="24"/>
              </w:rPr>
            </w:pPr>
            <w:hyperlink r:id="rId12">
              <w:r w:rsidRPr="00521425">
                <w:rPr>
                  <w:rFonts w:ascii="Arial" w:eastAsia="Calibri" w:hAnsi="Arial" w:cs="Arial"/>
                  <w:i/>
                  <w:color w:val="auto"/>
                  <w:sz w:val="24"/>
                  <w:szCs w:val="24"/>
                </w:rPr>
                <w:t>Nevada Joint Union High</w:t>
              </w:r>
            </w:hyperlink>
          </w:p>
        </w:tc>
        <w:tc>
          <w:tcPr>
            <w:tcW w:w="2535" w:type="dxa"/>
            <w:tcMar>
              <w:top w:w="100" w:type="dxa"/>
              <w:left w:w="100" w:type="dxa"/>
              <w:bottom w:w="100" w:type="dxa"/>
              <w:right w:w="100" w:type="dxa"/>
            </w:tcMar>
            <w:vAlign w:val="bottom"/>
          </w:tcPr>
          <w:p w:rsidR="00670492" w:rsidRPr="00521425" w:rsidRDefault="001429DF">
            <w:pPr>
              <w:pBdr>
                <w:top w:val="nil"/>
                <w:left w:val="nil"/>
                <w:bottom w:val="nil"/>
                <w:right w:val="nil"/>
                <w:between w:val="nil"/>
              </w:pBdr>
              <w:rPr>
                <w:rFonts w:ascii="Arial" w:eastAsia="Calibri" w:hAnsi="Arial" w:cs="Arial"/>
                <w:i/>
                <w:color w:val="auto"/>
                <w:sz w:val="24"/>
                <w:szCs w:val="24"/>
              </w:rPr>
            </w:pPr>
            <w:r w:rsidRPr="00521425">
              <w:rPr>
                <w:rFonts w:ascii="Arial" w:eastAsia="Calibri" w:hAnsi="Arial" w:cs="Arial"/>
                <w:i/>
                <w:color w:val="auto"/>
                <w:sz w:val="24"/>
                <w:szCs w:val="24"/>
              </w:rPr>
              <w:t>31,804</w:t>
            </w:r>
          </w:p>
        </w:tc>
        <w:tc>
          <w:tcPr>
            <w:tcW w:w="1890" w:type="dxa"/>
            <w:tcMar>
              <w:top w:w="100" w:type="dxa"/>
              <w:left w:w="100" w:type="dxa"/>
              <w:bottom w:w="100" w:type="dxa"/>
              <w:right w:w="100" w:type="dxa"/>
            </w:tcMar>
            <w:vAlign w:val="bottom"/>
          </w:tcPr>
          <w:p w:rsidR="00670492" w:rsidRPr="00521425" w:rsidRDefault="001429DF">
            <w:pPr>
              <w:pBdr>
                <w:top w:val="nil"/>
                <w:left w:val="nil"/>
                <w:bottom w:val="nil"/>
                <w:right w:val="nil"/>
                <w:between w:val="nil"/>
              </w:pBdr>
              <w:rPr>
                <w:rFonts w:ascii="Arial" w:eastAsia="Calibri" w:hAnsi="Arial" w:cs="Arial"/>
                <w:i/>
                <w:color w:val="auto"/>
                <w:sz w:val="24"/>
                <w:szCs w:val="24"/>
              </w:rPr>
            </w:pPr>
            <w:r w:rsidRPr="00521425">
              <w:rPr>
                <w:rFonts w:ascii="Arial" w:eastAsia="Calibri" w:hAnsi="Arial" w:cs="Arial"/>
                <w:i/>
                <w:color w:val="auto"/>
                <w:sz w:val="24"/>
                <w:szCs w:val="24"/>
              </w:rPr>
              <w:t xml:space="preserve">$465,854 </w:t>
            </w:r>
          </w:p>
        </w:tc>
      </w:tr>
      <w:tr w:rsidR="00670492" w:rsidRPr="00521425">
        <w:tc>
          <w:tcPr>
            <w:tcW w:w="5295" w:type="dxa"/>
            <w:tcMar>
              <w:top w:w="20" w:type="dxa"/>
              <w:left w:w="20" w:type="dxa"/>
              <w:bottom w:w="100" w:type="dxa"/>
              <w:right w:w="20" w:type="dxa"/>
            </w:tcMar>
            <w:vAlign w:val="bottom"/>
          </w:tcPr>
          <w:p w:rsidR="00670492" w:rsidRPr="00521425" w:rsidRDefault="001429DF">
            <w:pPr>
              <w:pBdr>
                <w:top w:val="nil"/>
                <w:left w:val="nil"/>
                <w:bottom w:val="nil"/>
                <w:right w:val="nil"/>
                <w:between w:val="nil"/>
              </w:pBdr>
              <w:rPr>
                <w:rFonts w:ascii="Arial" w:eastAsia="Calibri" w:hAnsi="Arial" w:cs="Arial"/>
                <w:i/>
                <w:color w:val="auto"/>
                <w:sz w:val="24"/>
                <w:szCs w:val="24"/>
              </w:rPr>
            </w:pPr>
            <w:hyperlink r:id="rId13">
              <w:r w:rsidRPr="00521425">
                <w:rPr>
                  <w:rFonts w:ascii="Arial" w:eastAsia="Calibri" w:hAnsi="Arial" w:cs="Arial"/>
                  <w:i/>
                  <w:color w:val="auto"/>
                  <w:sz w:val="24"/>
                  <w:szCs w:val="24"/>
                </w:rPr>
                <w:t>Placer Union High</w:t>
              </w:r>
            </w:hyperlink>
          </w:p>
        </w:tc>
        <w:tc>
          <w:tcPr>
            <w:tcW w:w="2535" w:type="dxa"/>
            <w:tcMar>
              <w:top w:w="100" w:type="dxa"/>
              <w:left w:w="100" w:type="dxa"/>
              <w:bottom w:w="100" w:type="dxa"/>
              <w:right w:w="100" w:type="dxa"/>
            </w:tcMar>
            <w:vAlign w:val="bottom"/>
          </w:tcPr>
          <w:p w:rsidR="00670492" w:rsidRPr="00521425" w:rsidRDefault="001429DF">
            <w:pPr>
              <w:pBdr>
                <w:top w:val="nil"/>
                <w:left w:val="nil"/>
                <w:bottom w:val="nil"/>
                <w:right w:val="nil"/>
                <w:between w:val="nil"/>
              </w:pBdr>
              <w:rPr>
                <w:rFonts w:ascii="Arial" w:eastAsia="Calibri" w:hAnsi="Arial" w:cs="Arial"/>
                <w:i/>
                <w:color w:val="auto"/>
                <w:sz w:val="24"/>
                <w:szCs w:val="24"/>
              </w:rPr>
            </w:pPr>
            <w:r w:rsidRPr="00521425">
              <w:rPr>
                <w:rFonts w:ascii="Arial" w:eastAsia="Calibri" w:hAnsi="Arial" w:cs="Arial"/>
                <w:i/>
                <w:color w:val="auto"/>
                <w:sz w:val="24"/>
                <w:szCs w:val="24"/>
              </w:rPr>
              <w:t>76,005</w:t>
            </w:r>
          </w:p>
        </w:tc>
        <w:tc>
          <w:tcPr>
            <w:tcW w:w="1890" w:type="dxa"/>
            <w:tcMar>
              <w:top w:w="100" w:type="dxa"/>
              <w:left w:w="100" w:type="dxa"/>
              <w:bottom w:w="100" w:type="dxa"/>
              <w:right w:w="100" w:type="dxa"/>
            </w:tcMar>
            <w:vAlign w:val="bottom"/>
          </w:tcPr>
          <w:p w:rsidR="00670492" w:rsidRPr="00521425" w:rsidRDefault="001429DF">
            <w:pPr>
              <w:pBdr>
                <w:top w:val="nil"/>
                <w:left w:val="nil"/>
                <w:bottom w:val="nil"/>
                <w:right w:val="nil"/>
                <w:between w:val="nil"/>
              </w:pBdr>
              <w:rPr>
                <w:rFonts w:ascii="Arial" w:eastAsia="Calibri" w:hAnsi="Arial" w:cs="Arial"/>
                <w:i/>
                <w:color w:val="auto"/>
                <w:sz w:val="24"/>
                <w:szCs w:val="24"/>
              </w:rPr>
            </w:pPr>
            <w:r w:rsidRPr="00521425">
              <w:rPr>
                <w:rFonts w:ascii="Arial" w:eastAsia="Calibri" w:hAnsi="Arial" w:cs="Arial"/>
                <w:i/>
                <w:color w:val="auto"/>
                <w:sz w:val="24"/>
                <w:szCs w:val="24"/>
              </w:rPr>
              <w:t xml:space="preserve">$3,029,406 </w:t>
            </w:r>
          </w:p>
        </w:tc>
      </w:tr>
      <w:tr w:rsidR="00670492" w:rsidRPr="00521425">
        <w:tc>
          <w:tcPr>
            <w:tcW w:w="5295" w:type="dxa"/>
            <w:tcMar>
              <w:top w:w="20" w:type="dxa"/>
              <w:left w:w="20" w:type="dxa"/>
              <w:bottom w:w="100" w:type="dxa"/>
              <w:right w:w="20" w:type="dxa"/>
            </w:tcMar>
            <w:vAlign w:val="bottom"/>
          </w:tcPr>
          <w:p w:rsidR="00670492" w:rsidRPr="00521425" w:rsidRDefault="001429DF">
            <w:pPr>
              <w:pBdr>
                <w:top w:val="nil"/>
                <w:left w:val="nil"/>
                <w:bottom w:val="nil"/>
                <w:right w:val="nil"/>
                <w:between w:val="nil"/>
              </w:pBdr>
              <w:rPr>
                <w:rFonts w:ascii="Arial" w:eastAsia="Calibri" w:hAnsi="Arial" w:cs="Arial"/>
                <w:i/>
                <w:color w:val="auto"/>
                <w:sz w:val="24"/>
                <w:szCs w:val="24"/>
              </w:rPr>
            </w:pPr>
            <w:hyperlink r:id="rId14">
              <w:r w:rsidRPr="00521425">
                <w:rPr>
                  <w:rFonts w:ascii="Arial" w:eastAsia="Calibri" w:hAnsi="Arial" w:cs="Arial"/>
                  <w:i/>
                  <w:color w:val="auto"/>
                  <w:sz w:val="24"/>
                  <w:szCs w:val="24"/>
                </w:rPr>
                <w:t>Roseville Joint Union High</w:t>
              </w:r>
            </w:hyperlink>
          </w:p>
        </w:tc>
        <w:tc>
          <w:tcPr>
            <w:tcW w:w="2535" w:type="dxa"/>
            <w:tcMar>
              <w:top w:w="100" w:type="dxa"/>
              <w:left w:w="100" w:type="dxa"/>
              <w:bottom w:w="100" w:type="dxa"/>
              <w:right w:w="100" w:type="dxa"/>
            </w:tcMar>
            <w:vAlign w:val="bottom"/>
          </w:tcPr>
          <w:p w:rsidR="00670492" w:rsidRPr="00521425" w:rsidRDefault="001429DF">
            <w:pPr>
              <w:pBdr>
                <w:top w:val="nil"/>
                <w:left w:val="nil"/>
                <w:bottom w:val="nil"/>
                <w:right w:val="nil"/>
                <w:between w:val="nil"/>
              </w:pBdr>
              <w:rPr>
                <w:rFonts w:ascii="Arial" w:eastAsia="Calibri" w:hAnsi="Arial" w:cs="Arial"/>
                <w:i/>
                <w:color w:val="auto"/>
                <w:sz w:val="24"/>
                <w:szCs w:val="24"/>
              </w:rPr>
            </w:pPr>
            <w:r w:rsidRPr="00521425">
              <w:rPr>
                <w:rFonts w:ascii="Arial" w:eastAsia="Calibri" w:hAnsi="Arial" w:cs="Arial"/>
                <w:i/>
                <w:color w:val="auto"/>
                <w:sz w:val="24"/>
                <w:szCs w:val="24"/>
              </w:rPr>
              <w:t>172,078</w:t>
            </w:r>
          </w:p>
        </w:tc>
        <w:tc>
          <w:tcPr>
            <w:tcW w:w="1890" w:type="dxa"/>
            <w:tcMar>
              <w:top w:w="100" w:type="dxa"/>
              <w:left w:w="100" w:type="dxa"/>
              <w:bottom w:w="100" w:type="dxa"/>
              <w:right w:w="100" w:type="dxa"/>
            </w:tcMar>
            <w:vAlign w:val="bottom"/>
          </w:tcPr>
          <w:p w:rsidR="00670492" w:rsidRPr="00521425" w:rsidRDefault="001429DF">
            <w:pPr>
              <w:pBdr>
                <w:top w:val="nil"/>
                <w:left w:val="nil"/>
                <w:bottom w:val="nil"/>
                <w:right w:val="nil"/>
                <w:between w:val="nil"/>
              </w:pBdr>
              <w:rPr>
                <w:rFonts w:ascii="Arial" w:eastAsia="Calibri" w:hAnsi="Arial" w:cs="Arial"/>
                <w:i/>
                <w:color w:val="auto"/>
                <w:sz w:val="24"/>
                <w:szCs w:val="24"/>
              </w:rPr>
            </w:pPr>
            <w:r w:rsidRPr="00521425">
              <w:rPr>
                <w:rFonts w:ascii="Arial" w:eastAsia="Calibri" w:hAnsi="Arial" w:cs="Arial"/>
                <w:i/>
                <w:color w:val="auto"/>
                <w:sz w:val="24"/>
                <w:szCs w:val="24"/>
              </w:rPr>
              <w:t>$1,260,000</w:t>
            </w:r>
          </w:p>
        </w:tc>
      </w:tr>
      <w:tr w:rsidR="00670492" w:rsidRPr="00521425">
        <w:tc>
          <w:tcPr>
            <w:tcW w:w="5295" w:type="dxa"/>
            <w:tcMar>
              <w:top w:w="20" w:type="dxa"/>
              <w:left w:w="20" w:type="dxa"/>
              <w:bottom w:w="100" w:type="dxa"/>
              <w:right w:w="20" w:type="dxa"/>
            </w:tcMar>
            <w:vAlign w:val="bottom"/>
          </w:tcPr>
          <w:p w:rsidR="00670492" w:rsidRPr="00521425" w:rsidRDefault="001429DF">
            <w:pPr>
              <w:pBdr>
                <w:top w:val="nil"/>
                <w:left w:val="nil"/>
                <w:bottom w:val="nil"/>
                <w:right w:val="nil"/>
                <w:between w:val="nil"/>
              </w:pBdr>
              <w:rPr>
                <w:rFonts w:ascii="Arial" w:eastAsia="Calibri" w:hAnsi="Arial" w:cs="Arial"/>
                <w:i/>
                <w:color w:val="auto"/>
                <w:sz w:val="24"/>
                <w:szCs w:val="24"/>
              </w:rPr>
            </w:pPr>
            <w:hyperlink r:id="rId15">
              <w:r w:rsidRPr="00521425">
                <w:rPr>
                  <w:rFonts w:ascii="Arial" w:eastAsia="Calibri" w:hAnsi="Arial" w:cs="Arial"/>
                  <w:i/>
                  <w:color w:val="auto"/>
                  <w:sz w:val="24"/>
                  <w:szCs w:val="24"/>
                </w:rPr>
                <w:t>Sierra Joint CCD</w:t>
              </w:r>
            </w:hyperlink>
          </w:p>
        </w:tc>
        <w:tc>
          <w:tcPr>
            <w:tcW w:w="2535" w:type="dxa"/>
            <w:tcMar>
              <w:top w:w="100" w:type="dxa"/>
              <w:left w:w="100" w:type="dxa"/>
              <w:bottom w:w="100" w:type="dxa"/>
              <w:right w:w="100" w:type="dxa"/>
            </w:tcMar>
            <w:vAlign w:val="bottom"/>
          </w:tcPr>
          <w:p w:rsidR="00670492" w:rsidRPr="00521425" w:rsidRDefault="001429DF">
            <w:pPr>
              <w:pBdr>
                <w:top w:val="nil"/>
                <w:left w:val="nil"/>
                <w:bottom w:val="nil"/>
                <w:right w:val="nil"/>
                <w:between w:val="nil"/>
              </w:pBdr>
              <w:rPr>
                <w:rFonts w:ascii="Arial" w:eastAsia="Calibri" w:hAnsi="Arial" w:cs="Arial"/>
                <w:i/>
                <w:color w:val="auto"/>
                <w:sz w:val="24"/>
                <w:szCs w:val="24"/>
              </w:rPr>
            </w:pPr>
            <w:r w:rsidRPr="00521425">
              <w:rPr>
                <w:rFonts w:ascii="Arial" w:eastAsia="Calibri" w:hAnsi="Arial" w:cs="Arial"/>
                <w:i/>
                <w:color w:val="auto"/>
                <w:sz w:val="24"/>
                <w:szCs w:val="24"/>
              </w:rPr>
              <w:t>810</w:t>
            </w:r>
          </w:p>
        </w:tc>
        <w:tc>
          <w:tcPr>
            <w:tcW w:w="1890" w:type="dxa"/>
            <w:tcMar>
              <w:top w:w="100" w:type="dxa"/>
              <w:left w:w="100" w:type="dxa"/>
              <w:bottom w:w="100" w:type="dxa"/>
              <w:right w:w="100" w:type="dxa"/>
            </w:tcMar>
            <w:vAlign w:val="bottom"/>
          </w:tcPr>
          <w:p w:rsidR="00670492" w:rsidRPr="00521425" w:rsidRDefault="001429DF">
            <w:pPr>
              <w:pBdr>
                <w:top w:val="nil"/>
                <w:left w:val="nil"/>
                <w:bottom w:val="nil"/>
                <w:right w:val="nil"/>
                <w:between w:val="nil"/>
              </w:pBdr>
              <w:rPr>
                <w:rFonts w:ascii="Arial" w:eastAsia="Calibri" w:hAnsi="Arial" w:cs="Arial"/>
                <w:i/>
                <w:color w:val="auto"/>
                <w:sz w:val="24"/>
                <w:szCs w:val="24"/>
              </w:rPr>
            </w:pPr>
            <w:r w:rsidRPr="00521425">
              <w:rPr>
                <w:rFonts w:ascii="Arial" w:eastAsia="Calibri" w:hAnsi="Arial" w:cs="Arial"/>
                <w:i/>
                <w:color w:val="auto"/>
                <w:sz w:val="24"/>
                <w:szCs w:val="24"/>
              </w:rPr>
              <w:t xml:space="preserve">$7,129 </w:t>
            </w:r>
          </w:p>
        </w:tc>
      </w:tr>
      <w:tr w:rsidR="00670492" w:rsidRPr="00521425">
        <w:tc>
          <w:tcPr>
            <w:tcW w:w="5295" w:type="dxa"/>
            <w:tcMar>
              <w:top w:w="20" w:type="dxa"/>
              <w:left w:w="20" w:type="dxa"/>
              <w:bottom w:w="100" w:type="dxa"/>
              <w:right w:w="20" w:type="dxa"/>
            </w:tcMar>
            <w:vAlign w:val="bottom"/>
          </w:tcPr>
          <w:p w:rsidR="00670492" w:rsidRPr="00521425" w:rsidRDefault="001429DF">
            <w:pPr>
              <w:pBdr>
                <w:top w:val="nil"/>
                <w:left w:val="nil"/>
                <w:bottom w:val="nil"/>
                <w:right w:val="nil"/>
                <w:between w:val="nil"/>
              </w:pBdr>
              <w:rPr>
                <w:rFonts w:ascii="Arial" w:eastAsia="Calibri" w:hAnsi="Arial" w:cs="Arial"/>
                <w:i/>
                <w:color w:val="auto"/>
                <w:sz w:val="24"/>
                <w:szCs w:val="24"/>
              </w:rPr>
            </w:pPr>
            <w:hyperlink r:id="rId16">
              <w:r w:rsidRPr="00521425">
                <w:rPr>
                  <w:rFonts w:ascii="Arial" w:eastAsia="Calibri" w:hAnsi="Arial" w:cs="Arial"/>
                  <w:i/>
                  <w:color w:val="auto"/>
                  <w:sz w:val="24"/>
                  <w:szCs w:val="24"/>
                </w:rPr>
                <w:t>Tahoe-Truckee Unified</w:t>
              </w:r>
            </w:hyperlink>
          </w:p>
        </w:tc>
        <w:tc>
          <w:tcPr>
            <w:tcW w:w="2535" w:type="dxa"/>
            <w:tcMar>
              <w:top w:w="100" w:type="dxa"/>
              <w:left w:w="100" w:type="dxa"/>
              <w:bottom w:w="100" w:type="dxa"/>
              <w:right w:w="100" w:type="dxa"/>
            </w:tcMar>
            <w:vAlign w:val="bottom"/>
          </w:tcPr>
          <w:p w:rsidR="00670492" w:rsidRPr="00521425" w:rsidRDefault="001429DF">
            <w:pPr>
              <w:pBdr>
                <w:top w:val="nil"/>
                <w:left w:val="nil"/>
                <w:bottom w:val="nil"/>
                <w:right w:val="nil"/>
                <w:between w:val="nil"/>
              </w:pBdr>
              <w:rPr>
                <w:rFonts w:ascii="Arial" w:eastAsia="Calibri" w:hAnsi="Arial" w:cs="Arial"/>
                <w:i/>
                <w:color w:val="auto"/>
                <w:sz w:val="24"/>
                <w:szCs w:val="24"/>
              </w:rPr>
            </w:pPr>
            <w:r w:rsidRPr="00521425">
              <w:rPr>
                <w:rFonts w:ascii="Arial" w:eastAsia="Calibri" w:hAnsi="Arial" w:cs="Arial"/>
                <w:i/>
                <w:color w:val="auto"/>
                <w:sz w:val="24"/>
                <w:szCs w:val="24"/>
              </w:rPr>
              <w:t>4,078</w:t>
            </w:r>
          </w:p>
        </w:tc>
        <w:tc>
          <w:tcPr>
            <w:tcW w:w="1890" w:type="dxa"/>
            <w:tcMar>
              <w:top w:w="100" w:type="dxa"/>
              <w:left w:w="100" w:type="dxa"/>
              <w:bottom w:w="100" w:type="dxa"/>
              <w:right w:w="100" w:type="dxa"/>
            </w:tcMar>
            <w:vAlign w:val="bottom"/>
          </w:tcPr>
          <w:p w:rsidR="00670492" w:rsidRPr="00521425" w:rsidRDefault="001429DF">
            <w:pPr>
              <w:pBdr>
                <w:top w:val="nil"/>
                <w:left w:val="nil"/>
                <w:bottom w:val="nil"/>
                <w:right w:val="nil"/>
                <w:between w:val="nil"/>
              </w:pBdr>
              <w:rPr>
                <w:rFonts w:ascii="Arial" w:eastAsia="Calibri" w:hAnsi="Arial" w:cs="Arial"/>
                <w:i/>
                <w:color w:val="auto"/>
                <w:sz w:val="24"/>
                <w:szCs w:val="24"/>
              </w:rPr>
            </w:pPr>
            <w:r w:rsidRPr="00521425">
              <w:rPr>
                <w:rFonts w:ascii="Arial" w:eastAsia="Calibri" w:hAnsi="Arial" w:cs="Arial"/>
                <w:i/>
                <w:color w:val="auto"/>
                <w:sz w:val="24"/>
                <w:szCs w:val="24"/>
              </w:rPr>
              <w:t xml:space="preserve">$254,653 </w:t>
            </w:r>
          </w:p>
        </w:tc>
      </w:tr>
      <w:tr w:rsidR="00670492" w:rsidRPr="00521425">
        <w:tc>
          <w:tcPr>
            <w:tcW w:w="5295" w:type="dxa"/>
            <w:tcMar>
              <w:top w:w="100" w:type="dxa"/>
              <w:left w:w="100" w:type="dxa"/>
              <w:bottom w:w="100" w:type="dxa"/>
              <w:right w:w="100" w:type="dxa"/>
            </w:tcMar>
            <w:vAlign w:val="bottom"/>
          </w:tcPr>
          <w:p w:rsidR="00670492" w:rsidRPr="00521425" w:rsidRDefault="001429DF">
            <w:pPr>
              <w:pBdr>
                <w:top w:val="nil"/>
                <w:left w:val="nil"/>
                <w:bottom w:val="nil"/>
                <w:right w:val="nil"/>
                <w:between w:val="nil"/>
              </w:pBdr>
              <w:rPr>
                <w:rFonts w:ascii="Arial" w:eastAsia="Calibri" w:hAnsi="Arial" w:cs="Arial"/>
                <w:i/>
                <w:color w:val="auto"/>
                <w:sz w:val="24"/>
                <w:szCs w:val="24"/>
              </w:rPr>
            </w:pPr>
            <w:r w:rsidRPr="00521425">
              <w:rPr>
                <w:rFonts w:ascii="Arial" w:eastAsia="Calibri" w:hAnsi="Arial" w:cs="Arial"/>
                <w:i/>
                <w:color w:val="auto"/>
                <w:sz w:val="24"/>
                <w:szCs w:val="24"/>
              </w:rPr>
              <w:t>Totals</w:t>
            </w:r>
          </w:p>
        </w:tc>
        <w:tc>
          <w:tcPr>
            <w:tcW w:w="2535" w:type="dxa"/>
            <w:tcMar>
              <w:top w:w="100" w:type="dxa"/>
              <w:left w:w="100" w:type="dxa"/>
              <w:bottom w:w="100" w:type="dxa"/>
              <w:right w:w="100" w:type="dxa"/>
            </w:tcMar>
            <w:vAlign w:val="bottom"/>
          </w:tcPr>
          <w:p w:rsidR="00670492" w:rsidRPr="00521425" w:rsidRDefault="001429DF">
            <w:pPr>
              <w:pBdr>
                <w:top w:val="nil"/>
                <w:left w:val="nil"/>
                <w:bottom w:val="nil"/>
                <w:right w:val="nil"/>
                <w:between w:val="nil"/>
              </w:pBdr>
              <w:rPr>
                <w:rFonts w:ascii="Arial" w:eastAsia="Calibri" w:hAnsi="Arial" w:cs="Arial"/>
                <w:i/>
                <w:color w:val="auto"/>
                <w:sz w:val="24"/>
                <w:szCs w:val="24"/>
              </w:rPr>
            </w:pPr>
            <w:r w:rsidRPr="00521425">
              <w:rPr>
                <w:rFonts w:ascii="Arial" w:eastAsia="Calibri" w:hAnsi="Arial" w:cs="Arial"/>
                <w:i/>
                <w:color w:val="auto"/>
                <w:sz w:val="24"/>
                <w:szCs w:val="24"/>
              </w:rPr>
              <w:t>284,775</w:t>
            </w:r>
          </w:p>
        </w:tc>
        <w:tc>
          <w:tcPr>
            <w:tcW w:w="1890" w:type="dxa"/>
            <w:tcMar>
              <w:top w:w="100" w:type="dxa"/>
              <w:left w:w="100" w:type="dxa"/>
              <w:bottom w:w="100" w:type="dxa"/>
              <w:right w:w="100" w:type="dxa"/>
            </w:tcMar>
            <w:vAlign w:val="bottom"/>
          </w:tcPr>
          <w:p w:rsidR="00670492" w:rsidRPr="00521425" w:rsidRDefault="001429DF">
            <w:pPr>
              <w:pBdr>
                <w:top w:val="nil"/>
                <w:left w:val="nil"/>
                <w:bottom w:val="nil"/>
                <w:right w:val="nil"/>
                <w:between w:val="nil"/>
              </w:pBdr>
              <w:rPr>
                <w:rFonts w:ascii="Arial" w:eastAsia="Calibri" w:hAnsi="Arial" w:cs="Arial"/>
                <w:i/>
                <w:color w:val="auto"/>
                <w:sz w:val="24"/>
                <w:szCs w:val="24"/>
              </w:rPr>
            </w:pPr>
            <w:r w:rsidRPr="00521425">
              <w:rPr>
                <w:rFonts w:ascii="Arial" w:eastAsia="Calibri" w:hAnsi="Arial" w:cs="Arial"/>
                <w:i/>
                <w:color w:val="auto"/>
                <w:sz w:val="24"/>
                <w:szCs w:val="24"/>
              </w:rPr>
              <w:t xml:space="preserve">$3,759,042 </w:t>
            </w:r>
          </w:p>
        </w:tc>
      </w:tr>
    </w:tbl>
    <w:p w:rsidR="00670492" w:rsidRDefault="00670492">
      <w:pPr>
        <w:rPr>
          <w:rFonts w:ascii="Calibri" w:eastAsia="Calibri" w:hAnsi="Calibri" w:cs="Calibri"/>
          <w:color w:val="04326C"/>
          <w:sz w:val="28"/>
          <w:szCs w:val="28"/>
        </w:rPr>
      </w:pPr>
    </w:p>
    <w:p w:rsidR="00670492" w:rsidRPr="0023607D" w:rsidRDefault="001429DF">
      <w:pPr>
        <w:rPr>
          <w:rFonts w:ascii="Arial" w:eastAsia="Calibri" w:hAnsi="Arial" w:cs="Arial"/>
          <w:color w:val="auto"/>
          <w:sz w:val="24"/>
          <w:szCs w:val="24"/>
        </w:rPr>
      </w:pPr>
      <w:r w:rsidRPr="0023607D">
        <w:rPr>
          <w:rFonts w:ascii="Arial" w:eastAsia="Calibri" w:hAnsi="Arial" w:cs="Arial"/>
          <w:color w:val="auto"/>
          <w:sz w:val="24"/>
          <w:szCs w:val="24"/>
        </w:rPr>
        <w:lastRenderedPageBreak/>
        <w:t>*Program areas provided throughout Consortium region include: ABE/ASE, ESL/EL Civics, AWD, K12 Success, Short Term CTE, Workforce Reentry, and Pre-Apprenticeship. PSA also has a Career Center.</w:t>
      </w:r>
    </w:p>
    <w:p w:rsidR="00670492" w:rsidRPr="0023607D" w:rsidRDefault="001429DF">
      <w:pPr>
        <w:rPr>
          <w:rFonts w:ascii="Arial" w:eastAsia="Calibri" w:hAnsi="Arial" w:cs="Arial"/>
          <w:color w:val="auto"/>
          <w:sz w:val="24"/>
          <w:szCs w:val="24"/>
        </w:rPr>
      </w:pPr>
      <w:r w:rsidRPr="0023607D">
        <w:rPr>
          <w:rFonts w:ascii="Arial" w:eastAsia="Calibri" w:hAnsi="Arial" w:cs="Arial"/>
          <w:color w:val="auto"/>
          <w:sz w:val="24"/>
          <w:szCs w:val="24"/>
        </w:rPr>
        <w:t xml:space="preserve">Funding for these programs and services includes the Federal Workforce Innovation and Opportunity Act (WIOA) Title I and II, Carl Perkins, California Chancellor’s Office Strong Workforce Program, and other regional planning processes. </w:t>
      </w:r>
    </w:p>
    <w:p w:rsidR="00670492" w:rsidRPr="0023607D" w:rsidRDefault="001429DF">
      <w:pPr>
        <w:rPr>
          <w:rFonts w:ascii="Arial" w:eastAsia="Calibri" w:hAnsi="Arial" w:cs="Arial"/>
          <w:color w:val="auto"/>
          <w:sz w:val="24"/>
          <w:szCs w:val="24"/>
        </w:rPr>
      </w:pPr>
      <w:r w:rsidRPr="0023607D">
        <w:rPr>
          <w:rFonts w:ascii="Arial" w:eastAsia="Calibri" w:hAnsi="Arial" w:cs="Arial"/>
          <w:color w:val="auto"/>
          <w:sz w:val="24"/>
          <w:szCs w:val="24"/>
        </w:rPr>
        <w:t>** Funds include partner resources (</w:t>
      </w:r>
      <w:proofErr w:type="spellStart"/>
      <w:r w:rsidRPr="0023607D">
        <w:rPr>
          <w:rFonts w:ascii="Arial" w:eastAsia="Calibri" w:hAnsi="Arial" w:cs="Arial"/>
          <w:color w:val="auto"/>
          <w:sz w:val="24"/>
          <w:szCs w:val="24"/>
        </w:rPr>
        <w:t>i.e</w:t>
      </w:r>
      <w:proofErr w:type="spellEnd"/>
      <w:r w:rsidRPr="0023607D">
        <w:rPr>
          <w:rFonts w:ascii="Arial" w:eastAsia="Calibri" w:hAnsi="Arial" w:cs="Arial"/>
          <w:color w:val="auto"/>
          <w:sz w:val="24"/>
          <w:szCs w:val="24"/>
        </w:rPr>
        <w:t xml:space="preserve"> CAEP funds, in-kind supports, facilities, professional development opportunities and joint advisories/advisory representation, Workforce Readiness content, etc.)</w:t>
      </w:r>
    </w:p>
    <w:p w:rsidR="00670492" w:rsidRPr="0023607D" w:rsidRDefault="001429DF">
      <w:pPr>
        <w:rPr>
          <w:rFonts w:ascii="Arial" w:eastAsia="Calibri" w:hAnsi="Arial" w:cs="Arial"/>
          <w:color w:val="auto"/>
          <w:sz w:val="24"/>
          <w:szCs w:val="24"/>
        </w:rPr>
      </w:pPr>
      <w:r w:rsidRPr="0023607D">
        <w:rPr>
          <w:rFonts w:ascii="Arial" w:eastAsia="Calibri" w:hAnsi="Arial" w:cs="Arial"/>
          <w:color w:val="auto"/>
          <w:sz w:val="24"/>
          <w:szCs w:val="24"/>
        </w:rPr>
        <w:t>Key partners that assist with providing adult education resources in our region are listed in chart that follows in Table 1.  Partner services are funded through various state and federal government agencies.</w:t>
      </w:r>
    </w:p>
    <w:p w:rsidR="00670492" w:rsidRDefault="001429DF">
      <w:pPr>
        <w:spacing w:after="0" w:line="240" w:lineRule="auto"/>
        <w:rPr>
          <w:rFonts w:ascii="Calibri" w:eastAsia="Calibri" w:hAnsi="Calibri" w:cs="Calibri"/>
          <w:b/>
          <w:sz w:val="28"/>
          <w:szCs w:val="28"/>
        </w:rPr>
        <w:sectPr w:rsidR="00670492">
          <w:type w:val="continuous"/>
          <w:pgSz w:w="12240" w:h="15840"/>
          <w:pgMar w:top="1739" w:right="1080" w:bottom="1440" w:left="1440" w:header="720" w:footer="720" w:gutter="0"/>
          <w:cols w:space="720"/>
        </w:sectPr>
      </w:pPr>
      <w:r>
        <w:br w:type="page"/>
      </w:r>
    </w:p>
    <w:p w:rsidR="00670492" w:rsidRPr="006F5BAC" w:rsidRDefault="001429DF">
      <w:pPr>
        <w:pStyle w:val="Heading3"/>
        <w:rPr>
          <w:rFonts w:ascii="Arial" w:hAnsi="Arial" w:cs="Arial"/>
        </w:rPr>
      </w:pPr>
      <w:bookmarkStart w:id="25" w:name="_Toc10017475"/>
      <w:r w:rsidRPr="006F5BAC">
        <w:rPr>
          <w:rFonts w:ascii="Arial" w:hAnsi="Arial" w:cs="Arial"/>
        </w:rPr>
        <w:lastRenderedPageBreak/>
        <w:t>Table 1. Regional Service Providers</w:t>
      </w:r>
      <w:bookmarkEnd w:id="25"/>
    </w:p>
    <w:tbl>
      <w:tblPr>
        <w:tblStyle w:val="a0"/>
        <w:tblW w:w="11275" w:type="dxa"/>
        <w:tblInd w:w="-9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160"/>
        <w:gridCol w:w="1500"/>
        <w:gridCol w:w="2175"/>
        <w:gridCol w:w="705"/>
        <w:gridCol w:w="585"/>
        <w:gridCol w:w="480"/>
        <w:gridCol w:w="555"/>
        <w:gridCol w:w="585"/>
        <w:gridCol w:w="480"/>
        <w:gridCol w:w="480"/>
        <w:gridCol w:w="525"/>
        <w:gridCol w:w="1045"/>
      </w:tblGrid>
      <w:tr w:rsidR="00670492" w:rsidTr="00521425">
        <w:trPr>
          <w:trHeight w:val="500"/>
        </w:trPr>
        <w:tc>
          <w:tcPr>
            <w:tcW w:w="2160" w:type="dxa"/>
            <w:vMerge w:val="restart"/>
            <w:shd w:val="clear" w:color="auto" w:fill="073763"/>
            <w:vAlign w:val="center"/>
          </w:tcPr>
          <w:p w:rsidR="00670492" w:rsidRDefault="001429DF">
            <w:pPr>
              <w:spacing w:after="0" w:line="240" w:lineRule="auto"/>
              <w:rPr>
                <w:b/>
                <w:color w:val="FFFFFF"/>
                <w:sz w:val="20"/>
                <w:szCs w:val="20"/>
              </w:rPr>
            </w:pPr>
            <w:bookmarkStart w:id="26" w:name="_c10sd068us75" w:colFirst="0" w:colLast="0"/>
            <w:bookmarkStart w:id="27" w:name="_2s8eyo1" w:colFirst="0" w:colLast="0"/>
            <w:bookmarkEnd w:id="26"/>
            <w:bookmarkEnd w:id="27"/>
            <w:r>
              <w:rPr>
                <w:b/>
                <w:color w:val="FFFFFF"/>
                <w:sz w:val="20"/>
                <w:szCs w:val="20"/>
              </w:rPr>
              <w:t>Provider Name</w:t>
            </w:r>
          </w:p>
        </w:tc>
        <w:tc>
          <w:tcPr>
            <w:tcW w:w="1500" w:type="dxa"/>
            <w:vMerge w:val="restart"/>
            <w:shd w:val="clear" w:color="auto" w:fill="073763"/>
            <w:vAlign w:val="center"/>
          </w:tcPr>
          <w:p w:rsidR="00670492" w:rsidRDefault="001429DF">
            <w:pPr>
              <w:spacing w:after="0" w:line="240" w:lineRule="auto"/>
              <w:rPr>
                <w:b/>
                <w:color w:val="FFFFFF"/>
                <w:sz w:val="20"/>
                <w:szCs w:val="20"/>
              </w:rPr>
            </w:pPr>
            <w:r>
              <w:rPr>
                <w:b/>
                <w:color w:val="FFFFFF"/>
                <w:sz w:val="20"/>
                <w:szCs w:val="20"/>
              </w:rPr>
              <w:t>Provider Type</w:t>
            </w:r>
          </w:p>
        </w:tc>
        <w:tc>
          <w:tcPr>
            <w:tcW w:w="2175" w:type="dxa"/>
            <w:vMerge w:val="restart"/>
            <w:shd w:val="clear" w:color="auto" w:fill="073763"/>
            <w:vAlign w:val="center"/>
          </w:tcPr>
          <w:p w:rsidR="00670492" w:rsidRDefault="001429DF">
            <w:pPr>
              <w:spacing w:after="0" w:line="240" w:lineRule="auto"/>
              <w:rPr>
                <w:b/>
                <w:color w:val="FFFFFF"/>
                <w:sz w:val="20"/>
                <w:szCs w:val="20"/>
              </w:rPr>
            </w:pPr>
            <w:r>
              <w:rPr>
                <w:b/>
                <w:color w:val="FFFFFF"/>
                <w:sz w:val="20"/>
                <w:szCs w:val="20"/>
              </w:rPr>
              <w:t>Address or location(s) where AE services are provided</w:t>
            </w:r>
          </w:p>
        </w:tc>
        <w:tc>
          <w:tcPr>
            <w:tcW w:w="4395" w:type="dxa"/>
            <w:gridSpan w:val="8"/>
            <w:shd w:val="clear" w:color="auto" w:fill="073763"/>
            <w:vAlign w:val="center"/>
          </w:tcPr>
          <w:p w:rsidR="00670492" w:rsidRDefault="001429DF">
            <w:pPr>
              <w:spacing w:after="0" w:line="240" w:lineRule="auto"/>
              <w:jc w:val="center"/>
              <w:rPr>
                <w:b/>
                <w:color w:val="FFFFFF"/>
                <w:sz w:val="20"/>
                <w:szCs w:val="20"/>
              </w:rPr>
            </w:pPr>
            <w:r>
              <w:rPr>
                <w:b/>
                <w:color w:val="FFFFFF"/>
                <w:sz w:val="20"/>
                <w:szCs w:val="20"/>
              </w:rPr>
              <w:t>Program Areas</w:t>
            </w:r>
          </w:p>
        </w:tc>
        <w:tc>
          <w:tcPr>
            <w:tcW w:w="1045" w:type="dxa"/>
            <w:vMerge w:val="restart"/>
            <w:shd w:val="clear" w:color="auto" w:fill="073763"/>
            <w:vAlign w:val="center"/>
          </w:tcPr>
          <w:p w:rsidR="00670492" w:rsidRDefault="001429DF">
            <w:pPr>
              <w:spacing w:after="0" w:line="240" w:lineRule="auto"/>
              <w:rPr>
                <w:b/>
                <w:color w:val="FFFFFF"/>
                <w:sz w:val="20"/>
                <w:szCs w:val="20"/>
              </w:rPr>
            </w:pPr>
            <w:r>
              <w:rPr>
                <w:b/>
                <w:color w:val="FFFFFF"/>
                <w:sz w:val="20"/>
                <w:szCs w:val="20"/>
              </w:rPr>
              <w:t>If other, provide a brief description of services provided</w:t>
            </w:r>
          </w:p>
        </w:tc>
      </w:tr>
      <w:tr w:rsidR="00670492" w:rsidTr="00521425">
        <w:trPr>
          <w:trHeight w:val="760"/>
        </w:trPr>
        <w:tc>
          <w:tcPr>
            <w:tcW w:w="2160" w:type="dxa"/>
            <w:vMerge/>
            <w:shd w:val="clear" w:color="auto" w:fill="073763"/>
            <w:vAlign w:val="center"/>
          </w:tcPr>
          <w:p w:rsidR="00670492" w:rsidRDefault="00670492">
            <w:pPr>
              <w:widowControl w:val="0"/>
              <w:spacing w:after="0"/>
              <w:rPr>
                <w:b/>
                <w:color w:val="FFFFFF"/>
                <w:sz w:val="20"/>
                <w:szCs w:val="20"/>
              </w:rPr>
            </w:pPr>
          </w:p>
        </w:tc>
        <w:tc>
          <w:tcPr>
            <w:tcW w:w="1500" w:type="dxa"/>
            <w:vMerge/>
            <w:shd w:val="clear" w:color="auto" w:fill="073763"/>
            <w:vAlign w:val="center"/>
          </w:tcPr>
          <w:p w:rsidR="00670492" w:rsidRDefault="00670492">
            <w:pPr>
              <w:widowControl w:val="0"/>
              <w:spacing w:after="0"/>
              <w:rPr>
                <w:b/>
                <w:color w:val="FFFFFF"/>
                <w:sz w:val="20"/>
                <w:szCs w:val="20"/>
              </w:rPr>
            </w:pPr>
          </w:p>
        </w:tc>
        <w:tc>
          <w:tcPr>
            <w:tcW w:w="2175" w:type="dxa"/>
            <w:vMerge/>
            <w:shd w:val="clear" w:color="auto" w:fill="073763"/>
            <w:vAlign w:val="center"/>
          </w:tcPr>
          <w:p w:rsidR="00670492" w:rsidRDefault="00670492">
            <w:pPr>
              <w:widowControl w:val="0"/>
              <w:spacing w:after="0"/>
              <w:rPr>
                <w:b/>
                <w:color w:val="FFFFFF"/>
                <w:sz w:val="20"/>
                <w:szCs w:val="20"/>
              </w:rPr>
            </w:pPr>
          </w:p>
        </w:tc>
        <w:tc>
          <w:tcPr>
            <w:tcW w:w="705" w:type="dxa"/>
            <w:shd w:val="clear" w:color="auto" w:fill="073763"/>
            <w:vAlign w:val="center"/>
          </w:tcPr>
          <w:p w:rsidR="00670492" w:rsidRDefault="001429DF">
            <w:pPr>
              <w:spacing w:after="0" w:line="240" w:lineRule="auto"/>
              <w:jc w:val="center"/>
              <w:rPr>
                <w:b/>
                <w:color w:val="FFFFFF"/>
                <w:sz w:val="12"/>
                <w:szCs w:val="12"/>
              </w:rPr>
            </w:pPr>
            <w:r>
              <w:rPr>
                <w:b/>
                <w:color w:val="FFFFFF"/>
                <w:sz w:val="12"/>
                <w:szCs w:val="12"/>
              </w:rPr>
              <w:t>ABE</w:t>
            </w:r>
          </w:p>
        </w:tc>
        <w:tc>
          <w:tcPr>
            <w:tcW w:w="585" w:type="dxa"/>
            <w:shd w:val="clear" w:color="auto" w:fill="073763"/>
            <w:vAlign w:val="center"/>
          </w:tcPr>
          <w:p w:rsidR="00670492" w:rsidRDefault="001429DF">
            <w:pPr>
              <w:spacing w:after="0" w:line="240" w:lineRule="auto"/>
              <w:jc w:val="center"/>
              <w:rPr>
                <w:b/>
                <w:color w:val="FFFFFF"/>
                <w:sz w:val="12"/>
                <w:szCs w:val="12"/>
              </w:rPr>
            </w:pPr>
            <w:r>
              <w:rPr>
                <w:b/>
                <w:color w:val="FFFFFF"/>
                <w:sz w:val="12"/>
                <w:szCs w:val="12"/>
              </w:rPr>
              <w:t>ASE</w:t>
            </w:r>
          </w:p>
        </w:tc>
        <w:tc>
          <w:tcPr>
            <w:tcW w:w="480" w:type="dxa"/>
            <w:shd w:val="clear" w:color="auto" w:fill="073763"/>
            <w:vAlign w:val="center"/>
          </w:tcPr>
          <w:p w:rsidR="00670492" w:rsidRDefault="001429DF">
            <w:pPr>
              <w:spacing w:after="0" w:line="240" w:lineRule="auto"/>
              <w:jc w:val="center"/>
              <w:rPr>
                <w:b/>
                <w:color w:val="FFFFFF"/>
                <w:sz w:val="12"/>
                <w:szCs w:val="12"/>
              </w:rPr>
            </w:pPr>
            <w:r>
              <w:rPr>
                <w:b/>
                <w:color w:val="FFFFFF"/>
                <w:sz w:val="12"/>
                <w:szCs w:val="12"/>
              </w:rPr>
              <w:t>ESL</w:t>
            </w:r>
          </w:p>
        </w:tc>
        <w:tc>
          <w:tcPr>
            <w:tcW w:w="555" w:type="dxa"/>
            <w:shd w:val="clear" w:color="auto" w:fill="073763"/>
            <w:vAlign w:val="center"/>
          </w:tcPr>
          <w:p w:rsidR="00670492" w:rsidRDefault="001429DF">
            <w:pPr>
              <w:spacing w:after="0" w:line="240" w:lineRule="auto"/>
              <w:jc w:val="center"/>
              <w:rPr>
                <w:b/>
                <w:color w:val="FFFFFF"/>
                <w:sz w:val="12"/>
                <w:szCs w:val="12"/>
              </w:rPr>
            </w:pPr>
            <w:r>
              <w:rPr>
                <w:b/>
                <w:color w:val="FFFFFF"/>
                <w:sz w:val="12"/>
                <w:szCs w:val="12"/>
              </w:rPr>
              <w:t>CTE</w:t>
            </w:r>
          </w:p>
        </w:tc>
        <w:tc>
          <w:tcPr>
            <w:tcW w:w="585" w:type="dxa"/>
            <w:shd w:val="clear" w:color="auto" w:fill="073763"/>
            <w:vAlign w:val="center"/>
          </w:tcPr>
          <w:p w:rsidR="00670492" w:rsidRDefault="001429DF">
            <w:pPr>
              <w:spacing w:after="0" w:line="240" w:lineRule="auto"/>
              <w:jc w:val="center"/>
              <w:rPr>
                <w:b/>
                <w:color w:val="FFFFFF"/>
                <w:sz w:val="12"/>
                <w:szCs w:val="12"/>
              </w:rPr>
            </w:pPr>
            <w:r>
              <w:rPr>
                <w:b/>
                <w:color w:val="FFFFFF"/>
                <w:sz w:val="12"/>
                <w:szCs w:val="12"/>
              </w:rPr>
              <w:t>AWD</w:t>
            </w:r>
          </w:p>
        </w:tc>
        <w:tc>
          <w:tcPr>
            <w:tcW w:w="480" w:type="dxa"/>
            <w:shd w:val="clear" w:color="auto" w:fill="073763"/>
            <w:vAlign w:val="center"/>
          </w:tcPr>
          <w:p w:rsidR="00670492" w:rsidRDefault="001429DF">
            <w:pPr>
              <w:spacing w:after="0" w:line="240" w:lineRule="auto"/>
              <w:jc w:val="center"/>
              <w:rPr>
                <w:b/>
                <w:color w:val="FFFFFF"/>
                <w:sz w:val="12"/>
                <w:szCs w:val="12"/>
              </w:rPr>
            </w:pPr>
            <w:r>
              <w:rPr>
                <w:b/>
                <w:color w:val="FFFFFF"/>
                <w:sz w:val="12"/>
                <w:szCs w:val="12"/>
              </w:rPr>
              <w:t>WR</w:t>
            </w:r>
          </w:p>
        </w:tc>
        <w:tc>
          <w:tcPr>
            <w:tcW w:w="480" w:type="dxa"/>
            <w:shd w:val="clear" w:color="auto" w:fill="073763"/>
            <w:vAlign w:val="center"/>
          </w:tcPr>
          <w:p w:rsidR="00670492" w:rsidRDefault="001429DF">
            <w:pPr>
              <w:spacing w:after="0" w:line="240" w:lineRule="auto"/>
              <w:jc w:val="center"/>
              <w:rPr>
                <w:b/>
                <w:color w:val="FFFFFF"/>
                <w:sz w:val="12"/>
                <w:szCs w:val="12"/>
              </w:rPr>
            </w:pPr>
            <w:r>
              <w:rPr>
                <w:b/>
                <w:color w:val="FFFFFF"/>
                <w:sz w:val="12"/>
                <w:szCs w:val="12"/>
              </w:rPr>
              <w:t>PA</w:t>
            </w:r>
          </w:p>
        </w:tc>
        <w:tc>
          <w:tcPr>
            <w:tcW w:w="525" w:type="dxa"/>
            <w:shd w:val="clear" w:color="auto" w:fill="073763"/>
            <w:vAlign w:val="center"/>
          </w:tcPr>
          <w:p w:rsidR="00670492" w:rsidRDefault="001429DF">
            <w:pPr>
              <w:spacing w:after="0" w:line="240" w:lineRule="auto"/>
              <w:jc w:val="center"/>
              <w:rPr>
                <w:b/>
                <w:color w:val="FFFFFF"/>
                <w:sz w:val="12"/>
                <w:szCs w:val="12"/>
              </w:rPr>
            </w:pPr>
            <w:r>
              <w:rPr>
                <w:b/>
                <w:color w:val="FFFFFF"/>
                <w:sz w:val="12"/>
                <w:szCs w:val="12"/>
              </w:rPr>
              <w:t>ACS</w:t>
            </w:r>
          </w:p>
        </w:tc>
        <w:tc>
          <w:tcPr>
            <w:tcW w:w="1045" w:type="dxa"/>
            <w:vMerge/>
            <w:shd w:val="clear" w:color="auto" w:fill="073763"/>
            <w:vAlign w:val="center"/>
          </w:tcPr>
          <w:p w:rsidR="00670492" w:rsidRDefault="00670492">
            <w:pPr>
              <w:widowControl w:val="0"/>
              <w:spacing w:after="0"/>
              <w:rPr>
                <w:b/>
                <w:color w:val="FFFFFF"/>
                <w:sz w:val="12"/>
                <w:szCs w:val="12"/>
              </w:rPr>
            </w:pPr>
          </w:p>
        </w:tc>
      </w:tr>
      <w:tr w:rsidR="00670492" w:rsidTr="00521425">
        <w:trPr>
          <w:trHeight w:val="560"/>
        </w:trPr>
        <w:tc>
          <w:tcPr>
            <w:tcW w:w="2160" w:type="dxa"/>
            <w:shd w:val="clear" w:color="auto" w:fill="D3DFEE"/>
            <w:vAlign w:val="center"/>
          </w:tcPr>
          <w:p w:rsidR="00670492" w:rsidRDefault="001429DF">
            <w:pPr>
              <w:spacing w:after="0" w:line="240" w:lineRule="auto"/>
              <w:rPr>
                <w:i/>
                <w:color w:val="000000"/>
                <w:sz w:val="16"/>
                <w:szCs w:val="16"/>
              </w:rPr>
            </w:pPr>
            <w:r>
              <w:rPr>
                <w:i/>
                <w:color w:val="000000"/>
                <w:sz w:val="16"/>
                <w:szCs w:val="16"/>
              </w:rPr>
              <w:t>XYZ Agency</w:t>
            </w:r>
          </w:p>
        </w:tc>
        <w:tc>
          <w:tcPr>
            <w:tcW w:w="1500" w:type="dxa"/>
            <w:shd w:val="clear" w:color="auto" w:fill="D3DFEE"/>
            <w:vAlign w:val="center"/>
          </w:tcPr>
          <w:p w:rsidR="00670492" w:rsidRDefault="001429DF">
            <w:pPr>
              <w:spacing w:after="0" w:line="240" w:lineRule="auto"/>
              <w:rPr>
                <w:i/>
                <w:color w:val="000000"/>
                <w:sz w:val="16"/>
                <w:szCs w:val="16"/>
              </w:rPr>
            </w:pPr>
            <w:r>
              <w:rPr>
                <w:i/>
                <w:color w:val="000000"/>
                <w:sz w:val="16"/>
                <w:szCs w:val="16"/>
              </w:rPr>
              <w:t>Business / Industry</w:t>
            </w:r>
          </w:p>
        </w:tc>
        <w:tc>
          <w:tcPr>
            <w:tcW w:w="2175" w:type="dxa"/>
            <w:shd w:val="clear" w:color="auto" w:fill="D3DFEE"/>
            <w:vAlign w:val="center"/>
          </w:tcPr>
          <w:p w:rsidR="00670492" w:rsidRDefault="001429DF">
            <w:pPr>
              <w:spacing w:after="0" w:line="240" w:lineRule="auto"/>
              <w:rPr>
                <w:i/>
                <w:color w:val="000000"/>
                <w:sz w:val="16"/>
                <w:szCs w:val="16"/>
              </w:rPr>
            </w:pPr>
            <w:r>
              <w:rPr>
                <w:i/>
                <w:color w:val="000000"/>
                <w:sz w:val="16"/>
                <w:szCs w:val="16"/>
              </w:rPr>
              <w:t>555 Adult Education Lane, Los Angeles, CA 90001</w:t>
            </w:r>
          </w:p>
        </w:tc>
        <w:tc>
          <w:tcPr>
            <w:tcW w:w="705" w:type="dxa"/>
            <w:shd w:val="clear" w:color="auto" w:fill="D3DFEE"/>
            <w:vAlign w:val="center"/>
          </w:tcPr>
          <w:p w:rsidR="00670492" w:rsidRDefault="001429DF">
            <w:pPr>
              <w:spacing w:after="0" w:line="240" w:lineRule="auto"/>
              <w:jc w:val="center"/>
              <w:rPr>
                <w:i/>
                <w:color w:val="000000"/>
                <w:sz w:val="16"/>
                <w:szCs w:val="16"/>
              </w:rPr>
            </w:pPr>
            <w:r>
              <w:rPr>
                <w:i/>
                <w:color w:val="000000"/>
                <w:sz w:val="16"/>
                <w:szCs w:val="16"/>
              </w:rPr>
              <w:t>X</w:t>
            </w:r>
          </w:p>
        </w:tc>
        <w:tc>
          <w:tcPr>
            <w:tcW w:w="585" w:type="dxa"/>
            <w:shd w:val="clear" w:color="auto" w:fill="D3DFEE"/>
            <w:vAlign w:val="center"/>
          </w:tcPr>
          <w:p w:rsidR="00670492" w:rsidRDefault="001429DF">
            <w:pPr>
              <w:spacing w:after="0" w:line="240" w:lineRule="auto"/>
              <w:jc w:val="center"/>
              <w:rPr>
                <w:i/>
                <w:color w:val="000000"/>
                <w:sz w:val="16"/>
                <w:szCs w:val="16"/>
              </w:rPr>
            </w:pPr>
            <w:r>
              <w:rPr>
                <w:i/>
                <w:color w:val="000000"/>
                <w:sz w:val="16"/>
                <w:szCs w:val="16"/>
              </w:rPr>
              <w:t>X</w:t>
            </w:r>
          </w:p>
        </w:tc>
        <w:tc>
          <w:tcPr>
            <w:tcW w:w="480" w:type="dxa"/>
            <w:shd w:val="clear" w:color="auto" w:fill="D3DFEE"/>
            <w:vAlign w:val="center"/>
          </w:tcPr>
          <w:p w:rsidR="00670492" w:rsidRDefault="001429DF">
            <w:pPr>
              <w:spacing w:after="0" w:line="240" w:lineRule="auto"/>
              <w:jc w:val="center"/>
              <w:rPr>
                <w:i/>
                <w:color w:val="000000"/>
                <w:sz w:val="16"/>
                <w:szCs w:val="16"/>
              </w:rPr>
            </w:pPr>
            <w:r>
              <w:rPr>
                <w:i/>
                <w:color w:val="000000"/>
                <w:sz w:val="16"/>
                <w:szCs w:val="16"/>
              </w:rPr>
              <w:t>X</w:t>
            </w:r>
          </w:p>
        </w:tc>
        <w:tc>
          <w:tcPr>
            <w:tcW w:w="555" w:type="dxa"/>
            <w:shd w:val="clear" w:color="auto" w:fill="D3DFEE"/>
            <w:vAlign w:val="center"/>
          </w:tcPr>
          <w:p w:rsidR="00670492" w:rsidRDefault="001429DF">
            <w:pPr>
              <w:spacing w:after="0" w:line="240" w:lineRule="auto"/>
              <w:jc w:val="center"/>
              <w:rPr>
                <w:i/>
                <w:color w:val="000000"/>
                <w:sz w:val="16"/>
                <w:szCs w:val="16"/>
              </w:rPr>
            </w:pPr>
            <w:r>
              <w:rPr>
                <w:i/>
                <w:color w:val="000000"/>
                <w:sz w:val="16"/>
                <w:szCs w:val="16"/>
              </w:rPr>
              <w:t>X</w:t>
            </w:r>
          </w:p>
        </w:tc>
        <w:tc>
          <w:tcPr>
            <w:tcW w:w="585" w:type="dxa"/>
            <w:shd w:val="clear" w:color="auto" w:fill="D3DFEE"/>
            <w:vAlign w:val="center"/>
          </w:tcPr>
          <w:p w:rsidR="00670492" w:rsidRDefault="001429DF">
            <w:pPr>
              <w:spacing w:after="0" w:line="240" w:lineRule="auto"/>
              <w:jc w:val="center"/>
              <w:rPr>
                <w:i/>
                <w:color w:val="000000"/>
                <w:sz w:val="16"/>
                <w:szCs w:val="16"/>
              </w:rPr>
            </w:pPr>
            <w:r>
              <w:rPr>
                <w:i/>
                <w:color w:val="000000"/>
                <w:sz w:val="16"/>
                <w:szCs w:val="16"/>
              </w:rPr>
              <w:t>X</w:t>
            </w:r>
          </w:p>
        </w:tc>
        <w:tc>
          <w:tcPr>
            <w:tcW w:w="480" w:type="dxa"/>
            <w:shd w:val="clear" w:color="auto" w:fill="D3DFEE"/>
            <w:vAlign w:val="center"/>
          </w:tcPr>
          <w:p w:rsidR="00670492" w:rsidRDefault="001429DF">
            <w:pPr>
              <w:spacing w:after="0" w:line="240" w:lineRule="auto"/>
              <w:jc w:val="center"/>
              <w:rPr>
                <w:i/>
                <w:color w:val="000000"/>
                <w:sz w:val="16"/>
                <w:szCs w:val="16"/>
              </w:rPr>
            </w:pPr>
            <w:r>
              <w:rPr>
                <w:i/>
                <w:color w:val="000000"/>
                <w:sz w:val="16"/>
                <w:szCs w:val="16"/>
              </w:rPr>
              <w:t>X</w:t>
            </w:r>
          </w:p>
        </w:tc>
        <w:tc>
          <w:tcPr>
            <w:tcW w:w="480" w:type="dxa"/>
            <w:shd w:val="clear" w:color="auto" w:fill="D3DFEE"/>
            <w:vAlign w:val="center"/>
          </w:tcPr>
          <w:p w:rsidR="00670492" w:rsidRDefault="001429DF">
            <w:pPr>
              <w:spacing w:after="0" w:line="240" w:lineRule="auto"/>
              <w:jc w:val="center"/>
              <w:rPr>
                <w:i/>
                <w:color w:val="000000"/>
                <w:sz w:val="16"/>
                <w:szCs w:val="16"/>
              </w:rPr>
            </w:pPr>
            <w:r>
              <w:rPr>
                <w:i/>
                <w:color w:val="000000"/>
                <w:sz w:val="16"/>
                <w:szCs w:val="16"/>
              </w:rPr>
              <w:t>X</w:t>
            </w:r>
          </w:p>
        </w:tc>
        <w:tc>
          <w:tcPr>
            <w:tcW w:w="525" w:type="dxa"/>
            <w:shd w:val="clear" w:color="auto" w:fill="D3DFEE"/>
            <w:vAlign w:val="center"/>
          </w:tcPr>
          <w:p w:rsidR="00670492" w:rsidRDefault="001429DF">
            <w:pPr>
              <w:spacing w:after="0" w:line="240" w:lineRule="auto"/>
              <w:jc w:val="center"/>
              <w:rPr>
                <w:i/>
                <w:color w:val="000000"/>
                <w:sz w:val="16"/>
                <w:szCs w:val="16"/>
              </w:rPr>
            </w:pPr>
            <w:r>
              <w:rPr>
                <w:i/>
                <w:color w:val="000000"/>
                <w:sz w:val="16"/>
                <w:szCs w:val="16"/>
              </w:rPr>
              <w:t>X</w:t>
            </w:r>
          </w:p>
        </w:tc>
        <w:tc>
          <w:tcPr>
            <w:tcW w:w="1045" w:type="dxa"/>
            <w:shd w:val="clear" w:color="auto" w:fill="D3DFEE"/>
            <w:vAlign w:val="center"/>
          </w:tcPr>
          <w:p w:rsidR="00670492" w:rsidRDefault="001429DF">
            <w:pPr>
              <w:spacing w:after="0" w:line="240" w:lineRule="auto"/>
              <w:rPr>
                <w:i/>
                <w:color w:val="000000"/>
                <w:sz w:val="16"/>
                <w:szCs w:val="16"/>
              </w:rPr>
            </w:pPr>
            <w:r>
              <w:rPr>
                <w:i/>
                <w:color w:val="000000"/>
                <w:sz w:val="16"/>
                <w:szCs w:val="16"/>
              </w:rPr>
              <w:t>XYZ agency provides opportunities for students in Manufacturing Bridge Courses to Job Shadow.</w:t>
            </w: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Placer School for Adults</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Education  </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3775 Richardson Dr., Auburn, CA 95602</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2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104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Nevada Union Adult Education</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Education  </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11651 Ridge Rd. Grass Valley, CA 95945</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2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104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Roseville Adult School</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Education </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xml:space="preserve">200 </w:t>
            </w:r>
            <w:proofErr w:type="spellStart"/>
            <w:r>
              <w:rPr>
                <w:rFonts w:ascii="Calibri" w:eastAsia="Calibri" w:hAnsi="Calibri" w:cs="Calibri"/>
                <w:color w:val="04326C"/>
                <w:sz w:val="20"/>
                <w:szCs w:val="20"/>
              </w:rPr>
              <w:t>Branstetter</w:t>
            </w:r>
            <w:proofErr w:type="spellEnd"/>
            <w:r>
              <w:rPr>
                <w:rFonts w:ascii="Calibri" w:eastAsia="Calibri" w:hAnsi="Calibri" w:cs="Calibri"/>
                <w:color w:val="04326C"/>
                <w:sz w:val="20"/>
                <w:szCs w:val="20"/>
              </w:rPr>
              <w:t xml:space="preserve"> St, Roseville, CA 95678 </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2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104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Sierra College</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Education </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5100 Sierra College Blvd, Rocklin, CA 95677</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2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104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Tahoe Truckee</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Education </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11603 Donner Pass Road, Truckee, CA 96161</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2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104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Placer County HHS</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County</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1919 Grass Valley Hwy, Auburn, CA 95603   </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2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104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Golden Sierra Connections </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WIB  </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xml:space="preserve">115 Ascot </w:t>
            </w:r>
            <w:proofErr w:type="spellStart"/>
            <w:r>
              <w:rPr>
                <w:rFonts w:ascii="Calibri" w:eastAsia="Calibri" w:hAnsi="Calibri" w:cs="Calibri"/>
                <w:color w:val="04326C"/>
                <w:sz w:val="20"/>
                <w:szCs w:val="20"/>
              </w:rPr>
              <w:t>Dr</w:t>
            </w:r>
            <w:proofErr w:type="spellEnd"/>
            <w:r>
              <w:rPr>
                <w:rFonts w:ascii="Calibri" w:eastAsia="Calibri" w:hAnsi="Calibri" w:cs="Calibri"/>
                <w:color w:val="04326C"/>
                <w:sz w:val="20"/>
                <w:szCs w:val="20"/>
              </w:rPr>
              <w:t xml:space="preserve"> # 100, Roseville, CA 95661</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2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104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Department of Rehab</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State</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151 N Sunrise Ave</w:t>
            </w:r>
          </w:p>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Unit 601</w:t>
            </w:r>
          </w:p>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Roseville, CA  95661</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2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104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Placer County Libraries</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County</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350 Nevada St, Auburn, CA 95603 </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2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104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Placer County Office of Ed/CTE Works</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County</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360 Nevada St, Auburn, CA 95603   </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2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104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Wayne Brown Correctional</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County  </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925 Maidu Ave, Nevada City, CA 95959</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2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104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 Placer County Corrections</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County</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xml:space="preserve">2775 Richardson </w:t>
            </w:r>
            <w:proofErr w:type="spellStart"/>
            <w:r>
              <w:rPr>
                <w:rFonts w:ascii="Calibri" w:eastAsia="Calibri" w:hAnsi="Calibri" w:cs="Calibri"/>
                <w:color w:val="04326C"/>
                <w:sz w:val="20"/>
                <w:szCs w:val="20"/>
              </w:rPr>
              <w:t>Dr</w:t>
            </w:r>
            <w:proofErr w:type="spellEnd"/>
            <w:r>
              <w:rPr>
                <w:rFonts w:ascii="Calibri" w:eastAsia="Calibri" w:hAnsi="Calibri" w:cs="Calibri"/>
                <w:color w:val="04326C"/>
                <w:sz w:val="20"/>
                <w:szCs w:val="20"/>
              </w:rPr>
              <w:t xml:space="preserve"> Auburn CA 95603    </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2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104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lastRenderedPageBreak/>
              <w:t> </w:t>
            </w:r>
            <w:proofErr w:type="spellStart"/>
            <w:r>
              <w:rPr>
                <w:rFonts w:ascii="Calibri" w:eastAsia="Calibri" w:hAnsi="Calibri" w:cs="Calibri"/>
                <w:color w:val="04326C"/>
                <w:sz w:val="20"/>
                <w:szCs w:val="20"/>
              </w:rPr>
              <w:t>NorTEC</w:t>
            </w:r>
            <w:proofErr w:type="spellEnd"/>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WIB  </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xml:space="preserve">988 </w:t>
            </w:r>
            <w:proofErr w:type="spellStart"/>
            <w:r>
              <w:rPr>
                <w:rFonts w:ascii="Calibri" w:eastAsia="Calibri" w:hAnsi="Calibri" w:cs="Calibri"/>
                <w:color w:val="04326C"/>
                <w:sz w:val="20"/>
                <w:szCs w:val="20"/>
              </w:rPr>
              <w:t>McCourtney</w:t>
            </w:r>
            <w:proofErr w:type="spellEnd"/>
            <w:r>
              <w:rPr>
                <w:rFonts w:ascii="Calibri" w:eastAsia="Calibri" w:hAnsi="Calibri" w:cs="Calibri"/>
                <w:color w:val="04326C"/>
                <w:sz w:val="20"/>
                <w:szCs w:val="20"/>
              </w:rPr>
              <w:t xml:space="preserve"> Road </w:t>
            </w:r>
          </w:p>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Grass Valley, CA 95949</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2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104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 Pride Industries</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Business </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13080 Earhart Ave, Auburn, CA 95602</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2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104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 Latino Leadership Council</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Non-profit</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2945 Bell Rd #274, Auburn, CA 95603</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2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104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Nevada County Literacy Libraries</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County</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117 New Mohawk Rd # C, Nevada City, CA 95959  </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2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1045" w:type="dxa"/>
            <w:shd w:val="clear" w:color="auto" w:fill="auto"/>
            <w:vAlign w:val="center"/>
          </w:tcPr>
          <w:p w:rsidR="00670492" w:rsidRDefault="001429DF">
            <w:pPr>
              <w:rPr>
                <w:rFonts w:ascii="Calibri" w:eastAsia="Calibri" w:hAnsi="Calibri" w:cs="Calibri"/>
                <w:sz w:val="20"/>
                <w:szCs w:val="20"/>
              </w:rPr>
            </w:pPr>
            <w:r>
              <w:rPr>
                <w:rFonts w:ascii="Calibri" w:eastAsia="Calibri" w:hAnsi="Calibri" w:cs="Calibri"/>
                <w:color w:val="04326C"/>
                <w:sz w:val="20"/>
                <w:szCs w:val="20"/>
              </w:rPr>
              <w:t>     </w:t>
            </w: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Touch of Understanding</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Business</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xml:space="preserve">5280 </w:t>
            </w:r>
            <w:proofErr w:type="spellStart"/>
            <w:r>
              <w:rPr>
                <w:rFonts w:ascii="Calibri" w:eastAsia="Calibri" w:hAnsi="Calibri" w:cs="Calibri"/>
                <w:color w:val="04326C"/>
                <w:sz w:val="20"/>
                <w:szCs w:val="20"/>
              </w:rPr>
              <w:t>Stirling</w:t>
            </w:r>
            <w:proofErr w:type="spellEnd"/>
            <w:r>
              <w:rPr>
                <w:rFonts w:ascii="Calibri" w:eastAsia="Calibri" w:hAnsi="Calibri" w:cs="Calibri"/>
                <w:color w:val="04326C"/>
                <w:sz w:val="20"/>
                <w:szCs w:val="20"/>
              </w:rPr>
              <w:t xml:space="preserve"> St # 102, Granite Bay, CA 95746</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25" w:type="dxa"/>
            <w:shd w:val="clear" w:color="auto" w:fill="auto"/>
            <w:vAlign w:val="center"/>
          </w:tcPr>
          <w:p w:rsidR="00670492" w:rsidRDefault="00670492">
            <w:pPr>
              <w:spacing w:after="0" w:line="240" w:lineRule="auto"/>
              <w:jc w:val="center"/>
              <w:rPr>
                <w:rFonts w:ascii="Calibri" w:eastAsia="Calibri" w:hAnsi="Calibri" w:cs="Calibri"/>
                <w:color w:val="04326C"/>
                <w:sz w:val="20"/>
                <w:szCs w:val="20"/>
              </w:rPr>
            </w:pPr>
          </w:p>
        </w:tc>
        <w:tc>
          <w:tcPr>
            <w:tcW w:w="1045" w:type="dxa"/>
            <w:shd w:val="clear" w:color="auto" w:fill="auto"/>
            <w:vAlign w:val="center"/>
          </w:tcPr>
          <w:p w:rsidR="00670492" w:rsidRDefault="00670492">
            <w:pPr>
              <w:rPr>
                <w:rFonts w:ascii="Calibri" w:eastAsia="Calibri" w:hAnsi="Calibri" w:cs="Calibri"/>
                <w:color w:val="04326C"/>
                <w:sz w:val="20"/>
                <w:szCs w:val="20"/>
              </w:rPr>
            </w:pP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Partners in English Language Learning</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Business</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103 Providence Mine Rd #104b, Nevada City, CA 95959</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25" w:type="dxa"/>
            <w:shd w:val="clear" w:color="auto" w:fill="auto"/>
            <w:vAlign w:val="center"/>
          </w:tcPr>
          <w:p w:rsidR="00670492" w:rsidRDefault="00670492">
            <w:pPr>
              <w:spacing w:after="0" w:line="240" w:lineRule="auto"/>
              <w:jc w:val="center"/>
              <w:rPr>
                <w:rFonts w:ascii="Calibri" w:eastAsia="Calibri" w:hAnsi="Calibri" w:cs="Calibri"/>
                <w:color w:val="04326C"/>
                <w:sz w:val="20"/>
                <w:szCs w:val="20"/>
              </w:rPr>
            </w:pPr>
          </w:p>
        </w:tc>
        <w:tc>
          <w:tcPr>
            <w:tcW w:w="1045" w:type="dxa"/>
            <w:shd w:val="clear" w:color="auto" w:fill="auto"/>
            <w:vAlign w:val="center"/>
          </w:tcPr>
          <w:p w:rsidR="00670492" w:rsidRDefault="00670492">
            <w:pPr>
              <w:rPr>
                <w:rFonts w:ascii="Calibri" w:eastAsia="Calibri" w:hAnsi="Calibri" w:cs="Calibri"/>
                <w:color w:val="04326C"/>
                <w:sz w:val="20"/>
                <w:szCs w:val="20"/>
              </w:rPr>
            </w:pP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Sierra Small Business Development Center</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Business</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10183 Truckee Airport Rd Suite 202, Truckee, CA 96161</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25" w:type="dxa"/>
            <w:shd w:val="clear" w:color="auto" w:fill="auto"/>
            <w:vAlign w:val="center"/>
          </w:tcPr>
          <w:p w:rsidR="00670492" w:rsidRDefault="00670492">
            <w:pPr>
              <w:spacing w:after="0" w:line="240" w:lineRule="auto"/>
              <w:jc w:val="center"/>
              <w:rPr>
                <w:rFonts w:ascii="Calibri" w:eastAsia="Calibri" w:hAnsi="Calibri" w:cs="Calibri"/>
                <w:color w:val="04326C"/>
                <w:sz w:val="20"/>
                <w:szCs w:val="20"/>
              </w:rPr>
            </w:pPr>
          </w:p>
        </w:tc>
        <w:tc>
          <w:tcPr>
            <w:tcW w:w="1045" w:type="dxa"/>
            <w:shd w:val="clear" w:color="auto" w:fill="auto"/>
            <w:vAlign w:val="center"/>
          </w:tcPr>
          <w:p w:rsidR="00670492" w:rsidRDefault="00670492">
            <w:pPr>
              <w:rPr>
                <w:rFonts w:ascii="Calibri" w:eastAsia="Calibri" w:hAnsi="Calibri" w:cs="Calibri"/>
                <w:color w:val="04326C"/>
                <w:sz w:val="20"/>
                <w:szCs w:val="20"/>
              </w:rPr>
            </w:pP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North State Building Industries Association</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Business &amp; Non-profit</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sidRPr="00521425">
              <w:rPr>
                <w:rFonts w:ascii="Calibri" w:eastAsia="Calibri" w:hAnsi="Calibri" w:cs="Calibri"/>
                <w:color w:val="17365D" w:themeColor="text2" w:themeShade="BF"/>
                <w:sz w:val="20"/>
                <w:szCs w:val="20"/>
                <w:highlight w:val="white"/>
              </w:rPr>
              <w:t>1536 Eureka Rd, Roseville, CA 95661</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25" w:type="dxa"/>
            <w:shd w:val="clear" w:color="auto" w:fill="auto"/>
            <w:vAlign w:val="center"/>
          </w:tcPr>
          <w:p w:rsidR="00670492" w:rsidRDefault="00670492">
            <w:pPr>
              <w:spacing w:after="0" w:line="240" w:lineRule="auto"/>
              <w:jc w:val="center"/>
              <w:rPr>
                <w:rFonts w:ascii="Calibri" w:eastAsia="Calibri" w:hAnsi="Calibri" w:cs="Calibri"/>
                <w:color w:val="04326C"/>
                <w:sz w:val="20"/>
                <w:szCs w:val="20"/>
              </w:rPr>
            </w:pPr>
          </w:p>
        </w:tc>
        <w:tc>
          <w:tcPr>
            <w:tcW w:w="1045" w:type="dxa"/>
            <w:shd w:val="clear" w:color="auto" w:fill="auto"/>
            <w:vAlign w:val="center"/>
          </w:tcPr>
          <w:p w:rsidR="00670492" w:rsidRDefault="00670492">
            <w:pPr>
              <w:rPr>
                <w:rFonts w:ascii="Calibri" w:eastAsia="Calibri" w:hAnsi="Calibri" w:cs="Calibri"/>
                <w:color w:val="04326C"/>
                <w:sz w:val="20"/>
                <w:szCs w:val="20"/>
              </w:rPr>
            </w:pP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Lennar Homes</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xml:space="preserve">Business </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Eureka Rd., Roseville, CA 95678</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25" w:type="dxa"/>
            <w:shd w:val="clear" w:color="auto" w:fill="auto"/>
            <w:vAlign w:val="center"/>
          </w:tcPr>
          <w:p w:rsidR="00670492" w:rsidRDefault="00670492">
            <w:pPr>
              <w:spacing w:after="0" w:line="240" w:lineRule="auto"/>
              <w:jc w:val="center"/>
              <w:rPr>
                <w:rFonts w:ascii="Calibri" w:eastAsia="Calibri" w:hAnsi="Calibri" w:cs="Calibri"/>
                <w:color w:val="04326C"/>
                <w:sz w:val="20"/>
                <w:szCs w:val="20"/>
              </w:rPr>
            </w:pPr>
          </w:p>
        </w:tc>
        <w:tc>
          <w:tcPr>
            <w:tcW w:w="1045" w:type="dxa"/>
            <w:shd w:val="clear" w:color="auto" w:fill="auto"/>
            <w:vAlign w:val="center"/>
          </w:tcPr>
          <w:p w:rsidR="00670492" w:rsidRDefault="00670492">
            <w:pPr>
              <w:rPr>
                <w:rFonts w:ascii="Calibri" w:eastAsia="Calibri" w:hAnsi="Calibri" w:cs="Calibri"/>
                <w:color w:val="04326C"/>
                <w:sz w:val="20"/>
                <w:szCs w:val="20"/>
              </w:rPr>
            </w:pP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proofErr w:type="spellStart"/>
            <w:r>
              <w:rPr>
                <w:rFonts w:ascii="Calibri" w:eastAsia="Calibri" w:hAnsi="Calibri" w:cs="Calibri"/>
                <w:color w:val="04326C"/>
                <w:sz w:val="20"/>
                <w:szCs w:val="20"/>
              </w:rPr>
              <w:t>HyTech</w:t>
            </w:r>
            <w:proofErr w:type="spellEnd"/>
            <w:r>
              <w:rPr>
                <w:rFonts w:ascii="Calibri" w:eastAsia="Calibri" w:hAnsi="Calibri" w:cs="Calibri"/>
                <w:color w:val="04326C"/>
                <w:sz w:val="20"/>
                <w:szCs w:val="20"/>
              </w:rPr>
              <w:t xml:space="preserve"> Auto &amp; Smog</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Business</w:t>
            </w:r>
          </w:p>
        </w:tc>
        <w:tc>
          <w:tcPr>
            <w:tcW w:w="2175" w:type="dxa"/>
            <w:shd w:val="clear" w:color="auto" w:fill="auto"/>
            <w:vAlign w:val="center"/>
          </w:tcPr>
          <w:p w:rsidR="00670492" w:rsidRPr="00521425" w:rsidRDefault="001429DF">
            <w:pPr>
              <w:spacing w:after="0" w:line="240" w:lineRule="auto"/>
              <w:rPr>
                <w:rFonts w:asciiTheme="majorHAnsi" w:eastAsia="Calibri" w:hAnsiTheme="majorHAnsi" w:cstheme="majorHAnsi"/>
                <w:color w:val="04326C"/>
                <w:sz w:val="20"/>
                <w:szCs w:val="20"/>
              </w:rPr>
            </w:pPr>
            <w:r w:rsidRPr="00521425">
              <w:rPr>
                <w:rFonts w:asciiTheme="majorHAnsi" w:eastAsia="Roboto" w:hAnsiTheme="majorHAnsi" w:cstheme="majorHAnsi"/>
                <w:color w:val="04326C"/>
                <w:sz w:val="20"/>
                <w:szCs w:val="20"/>
              </w:rPr>
              <w:t xml:space="preserve">10745 W River </w:t>
            </w:r>
            <w:r w:rsidRPr="00521425">
              <w:rPr>
                <w:rFonts w:asciiTheme="majorHAnsi" w:eastAsia="Calibri" w:hAnsiTheme="majorHAnsi" w:cstheme="majorHAnsi"/>
                <w:color w:val="04326C"/>
                <w:sz w:val="20"/>
                <w:szCs w:val="20"/>
              </w:rPr>
              <w:t>St</w:t>
            </w:r>
            <w:r w:rsidRPr="00521425">
              <w:rPr>
                <w:rFonts w:asciiTheme="majorHAnsi" w:eastAsia="Roboto" w:hAnsiTheme="majorHAnsi" w:cstheme="majorHAnsi"/>
                <w:color w:val="04326C"/>
                <w:sz w:val="20"/>
                <w:szCs w:val="20"/>
              </w:rPr>
              <w:t>, Truckee, CA 96161</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25" w:type="dxa"/>
            <w:shd w:val="clear" w:color="auto" w:fill="auto"/>
            <w:vAlign w:val="center"/>
          </w:tcPr>
          <w:p w:rsidR="00670492" w:rsidRDefault="00670492">
            <w:pPr>
              <w:spacing w:after="0" w:line="240" w:lineRule="auto"/>
              <w:jc w:val="center"/>
              <w:rPr>
                <w:rFonts w:ascii="Calibri" w:eastAsia="Calibri" w:hAnsi="Calibri" w:cs="Calibri"/>
                <w:color w:val="04326C"/>
                <w:sz w:val="20"/>
                <w:szCs w:val="20"/>
              </w:rPr>
            </w:pPr>
          </w:p>
        </w:tc>
        <w:tc>
          <w:tcPr>
            <w:tcW w:w="1045" w:type="dxa"/>
            <w:shd w:val="clear" w:color="auto" w:fill="auto"/>
            <w:vAlign w:val="center"/>
          </w:tcPr>
          <w:p w:rsidR="00670492" w:rsidRDefault="00670492">
            <w:pPr>
              <w:rPr>
                <w:rFonts w:ascii="Calibri" w:eastAsia="Calibri" w:hAnsi="Calibri" w:cs="Calibri"/>
                <w:color w:val="04326C"/>
                <w:sz w:val="20"/>
                <w:szCs w:val="20"/>
              </w:rPr>
            </w:pP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Truckee Roundhouse Makerspace</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Community</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12116 Chandelle Way Suite E3, Truckee, CA 96161</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25" w:type="dxa"/>
            <w:shd w:val="clear" w:color="auto" w:fill="auto"/>
            <w:vAlign w:val="center"/>
          </w:tcPr>
          <w:p w:rsidR="00670492" w:rsidRDefault="00670492">
            <w:pPr>
              <w:spacing w:after="0" w:line="240" w:lineRule="auto"/>
              <w:jc w:val="center"/>
              <w:rPr>
                <w:rFonts w:ascii="Calibri" w:eastAsia="Calibri" w:hAnsi="Calibri" w:cs="Calibri"/>
                <w:color w:val="04326C"/>
                <w:sz w:val="20"/>
                <w:szCs w:val="20"/>
              </w:rPr>
            </w:pPr>
          </w:p>
        </w:tc>
        <w:tc>
          <w:tcPr>
            <w:tcW w:w="1045" w:type="dxa"/>
            <w:shd w:val="clear" w:color="auto" w:fill="auto"/>
            <w:vAlign w:val="center"/>
          </w:tcPr>
          <w:p w:rsidR="00670492" w:rsidRDefault="00670492">
            <w:pPr>
              <w:rPr>
                <w:rFonts w:ascii="Calibri" w:eastAsia="Calibri" w:hAnsi="Calibri" w:cs="Calibri"/>
                <w:color w:val="04326C"/>
                <w:sz w:val="20"/>
                <w:szCs w:val="20"/>
              </w:rPr>
            </w:pP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Truckee Donner Recreation Park District</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County</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8924 Donner Pass Rd, Truckee, CA 96161</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25" w:type="dxa"/>
            <w:shd w:val="clear" w:color="auto" w:fill="auto"/>
            <w:vAlign w:val="center"/>
          </w:tcPr>
          <w:p w:rsidR="00670492" w:rsidRDefault="00670492">
            <w:pPr>
              <w:spacing w:after="0" w:line="240" w:lineRule="auto"/>
              <w:jc w:val="center"/>
              <w:rPr>
                <w:rFonts w:ascii="Calibri" w:eastAsia="Calibri" w:hAnsi="Calibri" w:cs="Calibri"/>
                <w:color w:val="04326C"/>
                <w:sz w:val="20"/>
                <w:szCs w:val="20"/>
              </w:rPr>
            </w:pPr>
          </w:p>
        </w:tc>
        <w:tc>
          <w:tcPr>
            <w:tcW w:w="1045" w:type="dxa"/>
            <w:shd w:val="clear" w:color="auto" w:fill="auto"/>
            <w:vAlign w:val="center"/>
          </w:tcPr>
          <w:p w:rsidR="00670492" w:rsidRDefault="00670492">
            <w:pPr>
              <w:rPr>
                <w:rFonts w:ascii="Calibri" w:eastAsia="Calibri" w:hAnsi="Calibri" w:cs="Calibri"/>
                <w:color w:val="04326C"/>
                <w:sz w:val="20"/>
                <w:szCs w:val="20"/>
              </w:rPr>
            </w:pP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Contractor Association of Tahoe Truckee</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Industry</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12313 Soaring Way # 1G, Truckee, CA 96161</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25" w:type="dxa"/>
            <w:shd w:val="clear" w:color="auto" w:fill="auto"/>
            <w:vAlign w:val="center"/>
          </w:tcPr>
          <w:p w:rsidR="00670492" w:rsidRDefault="00670492">
            <w:pPr>
              <w:spacing w:after="0" w:line="240" w:lineRule="auto"/>
              <w:jc w:val="center"/>
              <w:rPr>
                <w:rFonts w:ascii="Calibri" w:eastAsia="Calibri" w:hAnsi="Calibri" w:cs="Calibri"/>
                <w:color w:val="04326C"/>
                <w:sz w:val="20"/>
                <w:szCs w:val="20"/>
              </w:rPr>
            </w:pPr>
          </w:p>
        </w:tc>
        <w:tc>
          <w:tcPr>
            <w:tcW w:w="1045" w:type="dxa"/>
            <w:shd w:val="clear" w:color="auto" w:fill="auto"/>
            <w:vAlign w:val="center"/>
          </w:tcPr>
          <w:p w:rsidR="00670492" w:rsidRDefault="00670492">
            <w:pPr>
              <w:rPr>
                <w:rFonts w:ascii="Calibri" w:eastAsia="Calibri" w:hAnsi="Calibri" w:cs="Calibri"/>
                <w:color w:val="04326C"/>
                <w:sz w:val="20"/>
                <w:szCs w:val="20"/>
              </w:rPr>
            </w:pP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Healthcare Partners: Sutter, other</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Business</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Misc.</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25" w:type="dxa"/>
            <w:shd w:val="clear" w:color="auto" w:fill="auto"/>
            <w:vAlign w:val="center"/>
          </w:tcPr>
          <w:p w:rsidR="00670492" w:rsidRDefault="00670492">
            <w:pPr>
              <w:spacing w:after="0" w:line="240" w:lineRule="auto"/>
              <w:jc w:val="center"/>
              <w:rPr>
                <w:rFonts w:ascii="Calibri" w:eastAsia="Calibri" w:hAnsi="Calibri" w:cs="Calibri"/>
                <w:color w:val="04326C"/>
                <w:sz w:val="20"/>
                <w:szCs w:val="20"/>
              </w:rPr>
            </w:pPr>
          </w:p>
        </w:tc>
        <w:tc>
          <w:tcPr>
            <w:tcW w:w="1045" w:type="dxa"/>
            <w:shd w:val="clear" w:color="auto" w:fill="auto"/>
            <w:vAlign w:val="center"/>
          </w:tcPr>
          <w:p w:rsidR="00670492" w:rsidRDefault="00670492">
            <w:pPr>
              <w:rPr>
                <w:rFonts w:ascii="Calibri" w:eastAsia="Calibri" w:hAnsi="Calibri" w:cs="Calibri"/>
                <w:color w:val="04326C"/>
                <w:sz w:val="20"/>
                <w:szCs w:val="20"/>
              </w:rPr>
            </w:pPr>
          </w:p>
        </w:tc>
      </w:tr>
      <w:tr w:rsidR="00670492" w:rsidTr="00521425">
        <w:trPr>
          <w:trHeight w:val="360"/>
        </w:trPr>
        <w:tc>
          <w:tcPr>
            <w:tcW w:w="216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TTUSD Translation and Interpretation Department</w:t>
            </w:r>
          </w:p>
        </w:tc>
        <w:tc>
          <w:tcPr>
            <w:tcW w:w="1500"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Education</w:t>
            </w:r>
          </w:p>
        </w:tc>
        <w:tc>
          <w:tcPr>
            <w:tcW w:w="2175" w:type="dxa"/>
            <w:shd w:val="clear" w:color="auto" w:fill="auto"/>
            <w:vAlign w:val="center"/>
          </w:tcPr>
          <w:p w:rsidR="00670492" w:rsidRDefault="001429D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11603 Donner Pass Road, Truckee, CA 96161</w:t>
            </w:r>
          </w:p>
        </w:tc>
        <w:tc>
          <w:tcPr>
            <w:tcW w:w="70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5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85" w:type="dxa"/>
            <w:shd w:val="clear" w:color="auto" w:fill="auto"/>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480" w:type="dxa"/>
            <w:vAlign w:val="center"/>
          </w:tcPr>
          <w:p w:rsidR="00670492" w:rsidRDefault="001429D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25" w:type="dxa"/>
            <w:shd w:val="clear" w:color="auto" w:fill="auto"/>
            <w:vAlign w:val="center"/>
          </w:tcPr>
          <w:p w:rsidR="00670492" w:rsidRDefault="00670492">
            <w:pPr>
              <w:spacing w:after="0" w:line="240" w:lineRule="auto"/>
              <w:jc w:val="center"/>
              <w:rPr>
                <w:rFonts w:ascii="Calibri" w:eastAsia="Calibri" w:hAnsi="Calibri" w:cs="Calibri"/>
                <w:color w:val="04326C"/>
                <w:sz w:val="20"/>
                <w:szCs w:val="20"/>
              </w:rPr>
            </w:pPr>
          </w:p>
        </w:tc>
        <w:tc>
          <w:tcPr>
            <w:tcW w:w="1045" w:type="dxa"/>
            <w:shd w:val="clear" w:color="auto" w:fill="auto"/>
            <w:vAlign w:val="center"/>
          </w:tcPr>
          <w:p w:rsidR="00670492" w:rsidRDefault="00670492">
            <w:pPr>
              <w:rPr>
                <w:rFonts w:ascii="Calibri" w:eastAsia="Calibri" w:hAnsi="Calibri" w:cs="Calibri"/>
                <w:color w:val="04326C"/>
                <w:sz w:val="20"/>
                <w:szCs w:val="20"/>
              </w:rPr>
            </w:pPr>
          </w:p>
        </w:tc>
      </w:tr>
    </w:tbl>
    <w:p w:rsidR="00670492" w:rsidRDefault="00670492"/>
    <w:p w:rsidR="00670492" w:rsidRDefault="00670492">
      <w:pPr>
        <w:rPr>
          <w:sz w:val="32"/>
          <w:szCs w:val="32"/>
        </w:rPr>
      </w:pPr>
    </w:p>
    <w:p w:rsidR="00670492" w:rsidRDefault="001429DF">
      <w:pPr>
        <w:widowControl w:val="0"/>
        <w:pBdr>
          <w:top w:val="nil"/>
          <w:left w:val="nil"/>
          <w:bottom w:val="nil"/>
          <w:right w:val="nil"/>
          <w:between w:val="nil"/>
        </w:pBdr>
        <w:spacing w:after="0"/>
        <w:rPr>
          <w:sz w:val="32"/>
          <w:szCs w:val="32"/>
        </w:rPr>
        <w:sectPr w:rsidR="00670492">
          <w:type w:val="continuous"/>
          <w:pgSz w:w="12240" w:h="15840"/>
          <w:pgMar w:top="1739" w:right="1080" w:bottom="1440" w:left="1440" w:header="720" w:footer="720" w:gutter="0"/>
          <w:cols w:space="720"/>
        </w:sectPr>
      </w:pPr>
      <w:r>
        <w:br w:type="page"/>
      </w:r>
    </w:p>
    <w:p w:rsidR="00670492" w:rsidRPr="006F5BAC" w:rsidRDefault="001429DF">
      <w:pPr>
        <w:pStyle w:val="Heading3"/>
        <w:rPr>
          <w:rFonts w:ascii="Arial" w:hAnsi="Arial" w:cs="Arial"/>
        </w:rPr>
      </w:pPr>
      <w:bookmarkStart w:id="28" w:name="_Toc10017476"/>
      <w:r w:rsidRPr="006F5BAC">
        <w:rPr>
          <w:rFonts w:ascii="Arial" w:hAnsi="Arial" w:cs="Arial"/>
        </w:rPr>
        <w:lastRenderedPageBreak/>
        <w:t>Table 2. Funding for Adult Education Programs and Services</w:t>
      </w:r>
      <w:bookmarkEnd w:id="28"/>
    </w:p>
    <w:tbl>
      <w:tblPr>
        <w:tblStyle w:val="a1"/>
        <w:tblW w:w="9540" w:type="dxa"/>
        <w:tblLayout w:type="fixed"/>
        <w:tblLook w:val="0400" w:firstRow="0" w:lastRow="0" w:firstColumn="0" w:lastColumn="0" w:noHBand="0" w:noVBand="1"/>
      </w:tblPr>
      <w:tblGrid>
        <w:gridCol w:w="3420"/>
        <w:gridCol w:w="2040"/>
        <w:gridCol w:w="2040"/>
        <w:gridCol w:w="2040"/>
      </w:tblGrid>
      <w:tr w:rsidR="00670492">
        <w:trPr>
          <w:trHeight w:val="700"/>
        </w:trPr>
        <w:tc>
          <w:tcPr>
            <w:tcW w:w="3420" w:type="dxa"/>
            <w:tcBorders>
              <w:top w:val="single" w:sz="4" w:space="0" w:color="999999"/>
              <w:left w:val="single" w:sz="4" w:space="0" w:color="999999"/>
              <w:bottom w:val="nil"/>
              <w:right w:val="single" w:sz="4" w:space="0" w:color="999999"/>
            </w:tcBorders>
            <w:shd w:val="clear" w:color="auto" w:fill="073763"/>
            <w:vAlign w:val="center"/>
          </w:tcPr>
          <w:p w:rsidR="00670492" w:rsidRDefault="001429DF">
            <w:pPr>
              <w:spacing w:after="0" w:line="240" w:lineRule="auto"/>
              <w:jc w:val="center"/>
              <w:rPr>
                <w:b/>
                <w:color w:val="FFFFFF"/>
                <w:sz w:val="20"/>
                <w:szCs w:val="20"/>
              </w:rPr>
            </w:pPr>
            <w:bookmarkStart w:id="29" w:name="_3rdcrjn" w:colFirst="0" w:colLast="0"/>
            <w:bookmarkEnd w:id="29"/>
            <w:r>
              <w:rPr>
                <w:b/>
                <w:color w:val="FFFFFF"/>
                <w:sz w:val="20"/>
                <w:szCs w:val="20"/>
              </w:rPr>
              <w:t>Source and Type of Funds</w:t>
            </w:r>
          </w:p>
        </w:tc>
        <w:tc>
          <w:tcPr>
            <w:tcW w:w="2040" w:type="dxa"/>
            <w:tcBorders>
              <w:top w:val="single" w:sz="4" w:space="0" w:color="999999"/>
              <w:left w:val="single" w:sz="4" w:space="0" w:color="999999"/>
              <w:bottom w:val="nil"/>
              <w:right w:val="single" w:sz="4" w:space="0" w:color="999999"/>
            </w:tcBorders>
            <w:shd w:val="clear" w:color="auto" w:fill="073763"/>
            <w:vAlign w:val="center"/>
          </w:tcPr>
          <w:p w:rsidR="00670492" w:rsidRDefault="001429DF">
            <w:pPr>
              <w:spacing w:after="0" w:line="240" w:lineRule="auto"/>
              <w:jc w:val="center"/>
              <w:rPr>
                <w:b/>
                <w:color w:val="FFFFFF"/>
                <w:sz w:val="20"/>
                <w:szCs w:val="20"/>
              </w:rPr>
            </w:pPr>
            <w:r>
              <w:rPr>
                <w:b/>
                <w:color w:val="FFFFFF"/>
                <w:sz w:val="20"/>
                <w:szCs w:val="20"/>
              </w:rPr>
              <w:t>Funding Estimates FY 2019-20</w:t>
            </w:r>
          </w:p>
        </w:tc>
        <w:tc>
          <w:tcPr>
            <w:tcW w:w="2040" w:type="dxa"/>
            <w:tcBorders>
              <w:top w:val="single" w:sz="4" w:space="0" w:color="999999"/>
              <w:left w:val="single" w:sz="4" w:space="0" w:color="999999"/>
              <w:bottom w:val="nil"/>
              <w:right w:val="single" w:sz="4" w:space="0" w:color="999999"/>
            </w:tcBorders>
            <w:shd w:val="clear" w:color="auto" w:fill="073763"/>
            <w:vAlign w:val="center"/>
          </w:tcPr>
          <w:p w:rsidR="00670492" w:rsidRDefault="001429DF">
            <w:pPr>
              <w:spacing w:after="0" w:line="240" w:lineRule="auto"/>
              <w:jc w:val="center"/>
              <w:rPr>
                <w:b/>
                <w:color w:val="FFFFFF"/>
                <w:sz w:val="20"/>
                <w:szCs w:val="20"/>
              </w:rPr>
            </w:pPr>
            <w:r>
              <w:rPr>
                <w:b/>
                <w:color w:val="FFFFFF"/>
                <w:sz w:val="20"/>
                <w:szCs w:val="20"/>
              </w:rPr>
              <w:t>Funding Estimates FY 2020-21</w:t>
            </w:r>
          </w:p>
        </w:tc>
        <w:tc>
          <w:tcPr>
            <w:tcW w:w="2040" w:type="dxa"/>
            <w:tcBorders>
              <w:top w:val="single" w:sz="4" w:space="0" w:color="999999"/>
              <w:left w:val="single" w:sz="4" w:space="0" w:color="999999"/>
              <w:bottom w:val="nil"/>
              <w:right w:val="single" w:sz="4" w:space="0" w:color="999999"/>
            </w:tcBorders>
            <w:shd w:val="clear" w:color="auto" w:fill="073763"/>
            <w:vAlign w:val="center"/>
          </w:tcPr>
          <w:p w:rsidR="00670492" w:rsidRDefault="001429DF">
            <w:pPr>
              <w:spacing w:after="0" w:line="240" w:lineRule="auto"/>
              <w:jc w:val="center"/>
              <w:rPr>
                <w:b/>
                <w:color w:val="FFFFFF"/>
                <w:sz w:val="20"/>
                <w:szCs w:val="20"/>
              </w:rPr>
            </w:pPr>
            <w:r>
              <w:rPr>
                <w:b/>
                <w:color w:val="FFFFFF"/>
                <w:sz w:val="20"/>
                <w:szCs w:val="20"/>
              </w:rPr>
              <w:t>Funding Estimates FY 2021-22</w:t>
            </w:r>
          </w:p>
        </w:tc>
      </w:tr>
      <w:tr w:rsidR="00670492">
        <w:trPr>
          <w:trHeight w:val="500"/>
        </w:trPr>
        <w:tc>
          <w:tcPr>
            <w:tcW w:w="3420" w:type="dxa"/>
            <w:tcBorders>
              <w:top w:val="single" w:sz="4" w:space="0" w:color="999999"/>
              <w:left w:val="single" w:sz="4" w:space="0" w:color="999999"/>
              <w:bottom w:val="single" w:sz="4" w:space="0" w:color="999999"/>
              <w:right w:val="nil"/>
            </w:tcBorders>
            <w:shd w:val="clear" w:color="auto" w:fill="C0C0C0"/>
            <w:vAlign w:val="center"/>
          </w:tcPr>
          <w:p w:rsidR="00670492" w:rsidRDefault="001429DF">
            <w:pPr>
              <w:spacing w:after="0" w:line="240" w:lineRule="auto"/>
              <w:rPr>
                <w:b/>
                <w:color w:val="000000"/>
                <w:sz w:val="20"/>
                <w:szCs w:val="20"/>
              </w:rPr>
            </w:pPr>
            <w:r>
              <w:rPr>
                <w:b/>
                <w:color w:val="000000"/>
                <w:sz w:val="20"/>
                <w:szCs w:val="20"/>
              </w:rPr>
              <w:t>State / Federal Funding</w:t>
            </w:r>
          </w:p>
        </w:tc>
        <w:tc>
          <w:tcPr>
            <w:tcW w:w="2040" w:type="dxa"/>
            <w:tcBorders>
              <w:top w:val="single" w:sz="4" w:space="0" w:color="999999"/>
              <w:left w:val="nil"/>
              <w:bottom w:val="single" w:sz="4" w:space="0" w:color="999999"/>
              <w:right w:val="nil"/>
            </w:tcBorders>
            <w:shd w:val="clear" w:color="auto" w:fill="C0C0C0"/>
            <w:vAlign w:val="center"/>
          </w:tcPr>
          <w:p w:rsidR="00670492" w:rsidRDefault="001429DF">
            <w:pPr>
              <w:spacing w:after="0" w:line="240" w:lineRule="auto"/>
              <w:jc w:val="center"/>
              <w:rPr>
                <w:b/>
                <w:color w:val="000000"/>
                <w:sz w:val="20"/>
                <w:szCs w:val="20"/>
              </w:rPr>
            </w:pPr>
            <w:r>
              <w:rPr>
                <w:b/>
                <w:color w:val="000000"/>
                <w:sz w:val="20"/>
                <w:szCs w:val="20"/>
              </w:rPr>
              <w:t> </w:t>
            </w:r>
          </w:p>
        </w:tc>
        <w:tc>
          <w:tcPr>
            <w:tcW w:w="2040" w:type="dxa"/>
            <w:tcBorders>
              <w:top w:val="single" w:sz="4" w:space="0" w:color="999999"/>
              <w:left w:val="nil"/>
              <w:bottom w:val="single" w:sz="4" w:space="0" w:color="999999"/>
              <w:right w:val="nil"/>
            </w:tcBorders>
            <w:shd w:val="clear" w:color="auto" w:fill="C0C0C0"/>
            <w:vAlign w:val="center"/>
          </w:tcPr>
          <w:p w:rsidR="00670492" w:rsidRDefault="001429DF">
            <w:pPr>
              <w:spacing w:after="0" w:line="240" w:lineRule="auto"/>
              <w:jc w:val="center"/>
              <w:rPr>
                <w:b/>
                <w:color w:val="000000"/>
                <w:sz w:val="20"/>
                <w:szCs w:val="20"/>
              </w:rPr>
            </w:pPr>
            <w:r>
              <w:rPr>
                <w:b/>
                <w:color w:val="000000"/>
                <w:sz w:val="20"/>
                <w:szCs w:val="20"/>
              </w:rPr>
              <w:t> </w:t>
            </w:r>
          </w:p>
        </w:tc>
        <w:tc>
          <w:tcPr>
            <w:tcW w:w="2040" w:type="dxa"/>
            <w:tcBorders>
              <w:top w:val="single" w:sz="4" w:space="0" w:color="999999"/>
              <w:left w:val="nil"/>
              <w:bottom w:val="single" w:sz="4" w:space="0" w:color="999999"/>
              <w:right w:val="single" w:sz="4" w:space="0" w:color="999999"/>
            </w:tcBorders>
            <w:shd w:val="clear" w:color="auto" w:fill="C0C0C0"/>
            <w:vAlign w:val="center"/>
          </w:tcPr>
          <w:p w:rsidR="00670492" w:rsidRDefault="001429DF">
            <w:pPr>
              <w:spacing w:after="0" w:line="240" w:lineRule="auto"/>
              <w:jc w:val="center"/>
              <w:rPr>
                <w:b/>
                <w:color w:val="000000"/>
                <w:sz w:val="20"/>
                <w:szCs w:val="20"/>
              </w:rPr>
            </w:pPr>
            <w:r>
              <w:rPr>
                <w:b/>
                <w:color w:val="000000"/>
                <w:sz w:val="20"/>
                <w:szCs w:val="20"/>
              </w:rPr>
              <w:t> </w:t>
            </w:r>
          </w:p>
        </w:tc>
      </w:tr>
      <w:tr w:rsidR="00670492">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0492" w:rsidRPr="0023607D" w:rsidRDefault="001429DF">
            <w:pPr>
              <w:spacing w:after="0" w:line="240" w:lineRule="auto"/>
              <w:rPr>
                <w:b/>
                <w:color w:val="auto"/>
                <w:sz w:val="20"/>
                <w:szCs w:val="20"/>
              </w:rPr>
            </w:pPr>
            <w:r w:rsidRPr="0023607D">
              <w:rPr>
                <w:b/>
                <w:color w:val="auto"/>
                <w:sz w:val="20"/>
                <w:szCs w:val="20"/>
              </w:rPr>
              <w:t>AEP</w:t>
            </w:r>
          </w:p>
        </w:tc>
        <w:tc>
          <w:tcPr>
            <w:tcW w:w="2040" w:type="dxa"/>
            <w:tcBorders>
              <w:top w:val="nil"/>
              <w:left w:val="nil"/>
              <w:bottom w:val="single" w:sz="4" w:space="0" w:color="999999"/>
              <w:right w:val="single" w:sz="4" w:space="0" w:color="999999"/>
            </w:tcBorders>
            <w:shd w:val="clear" w:color="auto" w:fill="auto"/>
            <w:vAlign w:val="center"/>
          </w:tcPr>
          <w:p w:rsidR="00670492" w:rsidRPr="0023607D" w:rsidRDefault="001429DF">
            <w:pPr>
              <w:pBdr>
                <w:top w:val="nil"/>
                <w:left w:val="nil"/>
                <w:bottom w:val="nil"/>
                <w:right w:val="nil"/>
                <w:between w:val="nil"/>
              </w:pBdr>
              <w:spacing w:after="0" w:line="240" w:lineRule="auto"/>
              <w:jc w:val="right"/>
              <w:rPr>
                <w:rFonts w:ascii="Arial" w:eastAsia="Arial" w:hAnsi="Arial" w:cs="Arial"/>
                <w:color w:val="auto"/>
                <w:sz w:val="20"/>
                <w:szCs w:val="20"/>
              </w:rPr>
            </w:pPr>
            <w:r w:rsidRPr="0023607D">
              <w:rPr>
                <w:rFonts w:ascii="Arial" w:eastAsia="Arial" w:hAnsi="Arial" w:cs="Arial"/>
                <w:color w:val="auto"/>
                <w:sz w:val="20"/>
                <w:szCs w:val="20"/>
              </w:rPr>
              <w:t>$3,439,169</w:t>
            </w:r>
          </w:p>
        </w:tc>
        <w:tc>
          <w:tcPr>
            <w:tcW w:w="2040" w:type="dxa"/>
            <w:tcBorders>
              <w:top w:val="nil"/>
              <w:left w:val="nil"/>
              <w:bottom w:val="single" w:sz="4" w:space="0" w:color="999999"/>
              <w:right w:val="single" w:sz="4" w:space="0" w:color="999999"/>
            </w:tcBorders>
            <w:shd w:val="clear" w:color="auto" w:fill="auto"/>
            <w:vAlign w:val="center"/>
          </w:tcPr>
          <w:p w:rsidR="00670492" w:rsidRPr="0023607D" w:rsidRDefault="001429DF">
            <w:pPr>
              <w:pBdr>
                <w:top w:val="nil"/>
                <w:left w:val="nil"/>
                <w:bottom w:val="nil"/>
                <w:right w:val="nil"/>
                <w:between w:val="nil"/>
              </w:pBdr>
              <w:spacing w:after="0" w:line="240" w:lineRule="auto"/>
              <w:jc w:val="right"/>
              <w:rPr>
                <w:rFonts w:ascii="Arial" w:eastAsia="Arial" w:hAnsi="Arial" w:cs="Arial"/>
                <w:color w:val="auto"/>
                <w:sz w:val="20"/>
                <w:szCs w:val="20"/>
              </w:rPr>
            </w:pPr>
            <w:r w:rsidRPr="0023607D">
              <w:rPr>
                <w:rFonts w:ascii="Arial" w:eastAsia="Arial" w:hAnsi="Arial" w:cs="Arial"/>
                <w:color w:val="auto"/>
                <w:sz w:val="20"/>
                <w:szCs w:val="20"/>
              </w:rPr>
              <w:t>$3,576,735</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0492" w:rsidRPr="0023607D" w:rsidRDefault="001429DF">
            <w:pPr>
              <w:pBdr>
                <w:top w:val="nil"/>
                <w:left w:val="nil"/>
                <w:bottom w:val="nil"/>
                <w:right w:val="nil"/>
                <w:between w:val="nil"/>
              </w:pBdr>
              <w:spacing w:after="0" w:line="240" w:lineRule="auto"/>
              <w:jc w:val="right"/>
              <w:rPr>
                <w:rFonts w:ascii="Arial" w:eastAsia="Arial" w:hAnsi="Arial" w:cs="Arial"/>
                <w:color w:val="auto"/>
                <w:sz w:val="20"/>
                <w:szCs w:val="20"/>
              </w:rPr>
            </w:pPr>
            <w:r w:rsidRPr="0023607D">
              <w:rPr>
                <w:rFonts w:ascii="Arial" w:eastAsia="Arial" w:hAnsi="Arial" w:cs="Arial"/>
                <w:color w:val="auto"/>
                <w:sz w:val="20"/>
                <w:szCs w:val="20"/>
              </w:rPr>
              <w:t>$3,719,805</w:t>
            </w:r>
          </w:p>
        </w:tc>
      </w:tr>
      <w:tr w:rsidR="00670492">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0492" w:rsidRPr="0023607D" w:rsidRDefault="001429DF">
            <w:pPr>
              <w:spacing w:after="0" w:line="240" w:lineRule="auto"/>
              <w:rPr>
                <w:b/>
                <w:color w:val="auto"/>
                <w:sz w:val="20"/>
                <w:szCs w:val="20"/>
              </w:rPr>
            </w:pPr>
            <w:r w:rsidRPr="0023607D">
              <w:rPr>
                <w:b/>
                <w:color w:val="auto"/>
                <w:sz w:val="20"/>
                <w:szCs w:val="20"/>
              </w:rPr>
              <w:t>CalWORKs</w:t>
            </w:r>
          </w:p>
        </w:tc>
        <w:tc>
          <w:tcPr>
            <w:tcW w:w="2040" w:type="dxa"/>
            <w:tcBorders>
              <w:top w:val="nil"/>
              <w:left w:val="nil"/>
              <w:bottom w:val="single" w:sz="4" w:space="0" w:color="999999"/>
              <w:right w:val="single" w:sz="4" w:space="0" w:color="999999"/>
            </w:tcBorders>
            <w:shd w:val="clear" w:color="auto" w:fill="auto"/>
            <w:vAlign w:val="center"/>
          </w:tcPr>
          <w:p w:rsidR="00670492" w:rsidRPr="0023607D" w:rsidRDefault="001429DF">
            <w:pPr>
              <w:pBdr>
                <w:top w:val="nil"/>
                <w:left w:val="nil"/>
                <w:bottom w:val="nil"/>
                <w:right w:val="nil"/>
                <w:between w:val="nil"/>
              </w:pBdr>
              <w:spacing w:after="0" w:line="240" w:lineRule="auto"/>
              <w:jc w:val="right"/>
              <w:rPr>
                <w:rFonts w:ascii="Arial" w:eastAsia="Arial" w:hAnsi="Arial" w:cs="Arial"/>
                <w:color w:val="auto"/>
                <w:sz w:val="20"/>
                <w:szCs w:val="20"/>
              </w:rPr>
            </w:pPr>
            <w:r w:rsidRPr="0023607D">
              <w:rPr>
                <w:rFonts w:ascii="Arial" w:eastAsia="Arial" w:hAnsi="Arial" w:cs="Arial"/>
                <w:color w:val="auto"/>
                <w:sz w:val="20"/>
                <w:szCs w:val="20"/>
              </w:rPr>
              <w:t>$48,386</w:t>
            </w:r>
          </w:p>
        </w:tc>
        <w:tc>
          <w:tcPr>
            <w:tcW w:w="2040" w:type="dxa"/>
            <w:tcBorders>
              <w:top w:val="nil"/>
              <w:left w:val="nil"/>
              <w:bottom w:val="single" w:sz="4" w:space="0" w:color="999999"/>
              <w:right w:val="single" w:sz="4" w:space="0" w:color="999999"/>
            </w:tcBorders>
            <w:shd w:val="clear" w:color="auto" w:fill="auto"/>
            <w:vAlign w:val="center"/>
          </w:tcPr>
          <w:p w:rsidR="00670492" w:rsidRPr="0023607D" w:rsidRDefault="001429DF">
            <w:pPr>
              <w:pBdr>
                <w:top w:val="nil"/>
                <w:left w:val="nil"/>
                <w:bottom w:val="nil"/>
                <w:right w:val="nil"/>
                <w:between w:val="nil"/>
              </w:pBdr>
              <w:spacing w:after="0" w:line="240" w:lineRule="auto"/>
              <w:jc w:val="right"/>
              <w:rPr>
                <w:rFonts w:ascii="Arial" w:eastAsia="Arial" w:hAnsi="Arial" w:cs="Arial"/>
                <w:color w:val="auto"/>
                <w:sz w:val="20"/>
                <w:szCs w:val="20"/>
              </w:rPr>
            </w:pPr>
            <w:r w:rsidRPr="0023607D">
              <w:rPr>
                <w:rFonts w:ascii="Arial" w:eastAsia="Arial" w:hAnsi="Arial" w:cs="Arial"/>
                <w:color w:val="auto"/>
                <w:sz w:val="20"/>
                <w:szCs w:val="20"/>
              </w:rPr>
              <w:t>$49,801</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0492" w:rsidRPr="0023607D" w:rsidRDefault="001429DF">
            <w:pPr>
              <w:pBdr>
                <w:top w:val="nil"/>
                <w:left w:val="nil"/>
                <w:bottom w:val="nil"/>
                <w:right w:val="nil"/>
                <w:between w:val="nil"/>
              </w:pBdr>
              <w:spacing w:after="0" w:line="240" w:lineRule="auto"/>
              <w:jc w:val="right"/>
              <w:rPr>
                <w:rFonts w:ascii="Arial" w:eastAsia="Arial" w:hAnsi="Arial" w:cs="Arial"/>
                <w:color w:val="auto"/>
                <w:sz w:val="20"/>
                <w:szCs w:val="20"/>
              </w:rPr>
            </w:pPr>
            <w:r w:rsidRPr="0023607D">
              <w:rPr>
                <w:rFonts w:ascii="Arial" w:eastAsia="Arial" w:hAnsi="Arial" w:cs="Arial"/>
                <w:color w:val="auto"/>
                <w:sz w:val="20"/>
                <w:szCs w:val="20"/>
              </w:rPr>
              <w:t>$41,273</w:t>
            </w:r>
          </w:p>
        </w:tc>
      </w:tr>
      <w:tr w:rsidR="00670492">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0492" w:rsidRPr="0023607D" w:rsidRDefault="001429DF">
            <w:pPr>
              <w:spacing w:after="0" w:line="240" w:lineRule="auto"/>
              <w:rPr>
                <w:b/>
                <w:color w:val="auto"/>
                <w:sz w:val="20"/>
                <w:szCs w:val="20"/>
              </w:rPr>
            </w:pPr>
            <w:r w:rsidRPr="0023607D">
              <w:rPr>
                <w:b/>
                <w:color w:val="auto"/>
                <w:sz w:val="20"/>
                <w:szCs w:val="20"/>
              </w:rPr>
              <w:t>CCD Apportionment</w:t>
            </w:r>
          </w:p>
        </w:tc>
        <w:tc>
          <w:tcPr>
            <w:tcW w:w="2040" w:type="dxa"/>
            <w:tcBorders>
              <w:top w:val="nil"/>
              <w:left w:val="nil"/>
              <w:bottom w:val="single" w:sz="4" w:space="0" w:color="999999"/>
              <w:right w:val="single" w:sz="4" w:space="0" w:color="999999"/>
            </w:tcBorders>
            <w:shd w:val="clear" w:color="auto" w:fill="auto"/>
            <w:vAlign w:val="center"/>
          </w:tcPr>
          <w:p w:rsidR="00670492" w:rsidRPr="0023607D" w:rsidRDefault="001429DF">
            <w:pPr>
              <w:pBdr>
                <w:top w:val="nil"/>
                <w:left w:val="nil"/>
                <w:bottom w:val="nil"/>
                <w:right w:val="nil"/>
                <w:between w:val="nil"/>
              </w:pBdr>
              <w:spacing w:after="0" w:line="240" w:lineRule="auto"/>
              <w:jc w:val="right"/>
              <w:rPr>
                <w:rFonts w:ascii="Arial" w:eastAsia="Arial" w:hAnsi="Arial" w:cs="Arial"/>
                <w:color w:val="auto"/>
                <w:sz w:val="20"/>
                <w:szCs w:val="20"/>
              </w:rPr>
            </w:pPr>
            <w:r w:rsidRPr="0023607D">
              <w:rPr>
                <w:rFonts w:ascii="Arial" w:eastAsia="Arial" w:hAnsi="Arial" w:cs="Arial"/>
                <w:color w:val="auto"/>
                <w:sz w:val="20"/>
                <w:szCs w:val="20"/>
              </w:rPr>
              <w:t>$0</w:t>
            </w:r>
          </w:p>
        </w:tc>
        <w:tc>
          <w:tcPr>
            <w:tcW w:w="2040" w:type="dxa"/>
            <w:tcBorders>
              <w:top w:val="nil"/>
              <w:left w:val="nil"/>
              <w:bottom w:val="single" w:sz="4" w:space="0" w:color="999999"/>
              <w:right w:val="single" w:sz="4" w:space="0" w:color="999999"/>
            </w:tcBorders>
            <w:shd w:val="clear" w:color="auto" w:fill="auto"/>
            <w:vAlign w:val="center"/>
          </w:tcPr>
          <w:p w:rsidR="00670492" w:rsidRPr="0023607D" w:rsidRDefault="001429DF">
            <w:pPr>
              <w:pBdr>
                <w:top w:val="nil"/>
                <w:left w:val="nil"/>
                <w:bottom w:val="nil"/>
                <w:right w:val="nil"/>
                <w:between w:val="nil"/>
              </w:pBdr>
              <w:spacing w:after="0" w:line="240" w:lineRule="auto"/>
              <w:jc w:val="right"/>
              <w:rPr>
                <w:rFonts w:ascii="Arial" w:eastAsia="Arial" w:hAnsi="Arial" w:cs="Arial"/>
                <w:color w:val="auto"/>
                <w:sz w:val="20"/>
                <w:szCs w:val="20"/>
              </w:rPr>
            </w:pPr>
            <w:r w:rsidRPr="0023607D">
              <w:rPr>
                <w:rFonts w:ascii="Arial" w:eastAsia="Arial" w:hAnsi="Arial" w:cs="Arial"/>
                <w:color w:val="auto"/>
                <w:sz w:val="20"/>
                <w:szCs w:val="20"/>
              </w:rPr>
              <w:t>$0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0492" w:rsidRPr="0023607D" w:rsidRDefault="001429DF">
            <w:pPr>
              <w:pBdr>
                <w:top w:val="nil"/>
                <w:left w:val="nil"/>
                <w:bottom w:val="nil"/>
                <w:right w:val="nil"/>
                <w:between w:val="nil"/>
              </w:pBdr>
              <w:spacing w:after="0" w:line="240" w:lineRule="auto"/>
              <w:jc w:val="right"/>
              <w:rPr>
                <w:rFonts w:ascii="Arial" w:eastAsia="Arial" w:hAnsi="Arial" w:cs="Arial"/>
                <w:color w:val="auto"/>
                <w:sz w:val="20"/>
                <w:szCs w:val="20"/>
              </w:rPr>
            </w:pPr>
            <w:r w:rsidRPr="0023607D">
              <w:rPr>
                <w:rFonts w:ascii="Arial" w:eastAsia="Arial" w:hAnsi="Arial" w:cs="Arial"/>
                <w:color w:val="auto"/>
                <w:sz w:val="20"/>
                <w:szCs w:val="20"/>
              </w:rPr>
              <w:t>$0</w:t>
            </w:r>
          </w:p>
        </w:tc>
      </w:tr>
      <w:tr w:rsidR="00670492">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0492" w:rsidRPr="0023607D" w:rsidRDefault="001429DF">
            <w:pPr>
              <w:spacing w:after="0" w:line="240" w:lineRule="auto"/>
              <w:rPr>
                <w:b/>
                <w:color w:val="auto"/>
                <w:sz w:val="20"/>
                <w:szCs w:val="20"/>
              </w:rPr>
            </w:pPr>
            <w:r w:rsidRPr="0023607D">
              <w:rPr>
                <w:b/>
                <w:color w:val="auto"/>
                <w:sz w:val="20"/>
                <w:szCs w:val="20"/>
              </w:rPr>
              <w:t>Corrections</w:t>
            </w:r>
          </w:p>
        </w:tc>
        <w:tc>
          <w:tcPr>
            <w:tcW w:w="2040" w:type="dxa"/>
            <w:tcBorders>
              <w:top w:val="nil"/>
              <w:left w:val="nil"/>
              <w:bottom w:val="single" w:sz="4" w:space="0" w:color="999999"/>
              <w:right w:val="single" w:sz="4" w:space="0" w:color="999999"/>
            </w:tcBorders>
            <w:shd w:val="clear" w:color="auto" w:fill="auto"/>
            <w:vAlign w:val="center"/>
          </w:tcPr>
          <w:p w:rsidR="00670492" w:rsidRPr="0023607D" w:rsidRDefault="001429DF">
            <w:pPr>
              <w:pBdr>
                <w:top w:val="nil"/>
                <w:left w:val="nil"/>
                <w:bottom w:val="nil"/>
                <w:right w:val="nil"/>
                <w:between w:val="nil"/>
              </w:pBdr>
              <w:spacing w:after="0" w:line="240" w:lineRule="auto"/>
              <w:jc w:val="right"/>
              <w:rPr>
                <w:rFonts w:ascii="Arial" w:eastAsia="Arial" w:hAnsi="Arial" w:cs="Arial"/>
                <w:color w:val="auto"/>
                <w:sz w:val="20"/>
                <w:szCs w:val="20"/>
              </w:rPr>
            </w:pPr>
            <w:r w:rsidRPr="0023607D">
              <w:rPr>
                <w:rFonts w:ascii="Arial" w:eastAsia="Arial" w:hAnsi="Arial" w:cs="Arial"/>
                <w:color w:val="auto"/>
                <w:sz w:val="20"/>
                <w:szCs w:val="20"/>
              </w:rPr>
              <w:t>$184,886</w:t>
            </w:r>
          </w:p>
        </w:tc>
        <w:tc>
          <w:tcPr>
            <w:tcW w:w="2040" w:type="dxa"/>
            <w:tcBorders>
              <w:top w:val="nil"/>
              <w:left w:val="nil"/>
              <w:bottom w:val="single" w:sz="4" w:space="0" w:color="999999"/>
              <w:right w:val="single" w:sz="4" w:space="0" w:color="999999"/>
            </w:tcBorders>
            <w:shd w:val="clear" w:color="auto" w:fill="auto"/>
            <w:vAlign w:val="center"/>
          </w:tcPr>
          <w:p w:rsidR="00670492" w:rsidRPr="0023607D" w:rsidRDefault="001429DF">
            <w:pPr>
              <w:pBdr>
                <w:top w:val="nil"/>
                <w:left w:val="nil"/>
                <w:bottom w:val="nil"/>
                <w:right w:val="nil"/>
                <w:between w:val="nil"/>
              </w:pBdr>
              <w:spacing w:after="0" w:line="240" w:lineRule="auto"/>
              <w:jc w:val="right"/>
              <w:rPr>
                <w:rFonts w:ascii="Arial" w:eastAsia="Arial" w:hAnsi="Arial" w:cs="Arial"/>
                <w:color w:val="auto"/>
                <w:sz w:val="20"/>
                <w:szCs w:val="20"/>
              </w:rPr>
            </w:pPr>
            <w:r w:rsidRPr="0023607D">
              <w:rPr>
                <w:rFonts w:ascii="Arial" w:eastAsia="Arial" w:hAnsi="Arial" w:cs="Arial"/>
                <w:color w:val="auto"/>
                <w:sz w:val="20"/>
                <w:szCs w:val="20"/>
              </w:rPr>
              <w:t>$192,281</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0492" w:rsidRPr="0023607D" w:rsidRDefault="001429DF">
            <w:pPr>
              <w:pBdr>
                <w:top w:val="nil"/>
                <w:left w:val="nil"/>
                <w:bottom w:val="nil"/>
                <w:right w:val="nil"/>
                <w:between w:val="nil"/>
              </w:pBdr>
              <w:spacing w:after="0" w:line="240" w:lineRule="auto"/>
              <w:jc w:val="right"/>
              <w:rPr>
                <w:rFonts w:ascii="Arial" w:eastAsia="Arial" w:hAnsi="Arial" w:cs="Arial"/>
                <w:color w:val="auto"/>
                <w:sz w:val="20"/>
                <w:szCs w:val="20"/>
              </w:rPr>
            </w:pPr>
            <w:r w:rsidRPr="0023607D">
              <w:rPr>
                <w:rFonts w:ascii="Arial" w:eastAsia="Arial" w:hAnsi="Arial" w:cs="Arial"/>
                <w:color w:val="auto"/>
                <w:sz w:val="20"/>
                <w:szCs w:val="20"/>
              </w:rPr>
              <w:t>$199,973</w:t>
            </w:r>
          </w:p>
        </w:tc>
      </w:tr>
      <w:tr w:rsidR="00670492">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0492" w:rsidRPr="0023607D" w:rsidRDefault="001429DF">
            <w:pPr>
              <w:spacing w:after="0" w:line="240" w:lineRule="auto"/>
              <w:rPr>
                <w:b/>
                <w:color w:val="auto"/>
                <w:sz w:val="20"/>
                <w:szCs w:val="20"/>
              </w:rPr>
            </w:pPr>
            <w:r w:rsidRPr="0023607D">
              <w:rPr>
                <w:b/>
                <w:color w:val="auto"/>
                <w:sz w:val="20"/>
                <w:szCs w:val="20"/>
              </w:rPr>
              <w:t>LCFF / District Funds</w:t>
            </w:r>
          </w:p>
        </w:tc>
        <w:tc>
          <w:tcPr>
            <w:tcW w:w="2040" w:type="dxa"/>
            <w:tcBorders>
              <w:top w:val="nil"/>
              <w:left w:val="nil"/>
              <w:bottom w:val="single" w:sz="4" w:space="0" w:color="999999"/>
              <w:right w:val="single" w:sz="4" w:space="0" w:color="999999"/>
            </w:tcBorders>
            <w:shd w:val="clear" w:color="auto" w:fill="auto"/>
            <w:vAlign w:val="center"/>
          </w:tcPr>
          <w:p w:rsidR="00670492" w:rsidRPr="0023607D" w:rsidRDefault="001429DF">
            <w:pPr>
              <w:pBdr>
                <w:top w:val="nil"/>
                <w:left w:val="nil"/>
                <w:bottom w:val="nil"/>
                <w:right w:val="nil"/>
                <w:between w:val="nil"/>
              </w:pBdr>
              <w:spacing w:after="0" w:line="240" w:lineRule="auto"/>
              <w:jc w:val="right"/>
              <w:rPr>
                <w:rFonts w:ascii="Arial" w:eastAsia="Arial" w:hAnsi="Arial" w:cs="Arial"/>
                <w:color w:val="auto"/>
                <w:sz w:val="20"/>
                <w:szCs w:val="20"/>
              </w:rPr>
            </w:pPr>
            <w:r w:rsidRPr="0023607D">
              <w:rPr>
                <w:rFonts w:ascii="Arial" w:eastAsia="Arial" w:hAnsi="Arial" w:cs="Arial"/>
                <w:color w:val="auto"/>
                <w:sz w:val="20"/>
                <w:szCs w:val="20"/>
              </w:rPr>
              <w:t>$87,342</w:t>
            </w:r>
          </w:p>
        </w:tc>
        <w:tc>
          <w:tcPr>
            <w:tcW w:w="2040" w:type="dxa"/>
            <w:tcBorders>
              <w:top w:val="nil"/>
              <w:left w:val="nil"/>
              <w:bottom w:val="single" w:sz="4" w:space="0" w:color="999999"/>
              <w:right w:val="single" w:sz="4" w:space="0" w:color="999999"/>
            </w:tcBorders>
            <w:shd w:val="clear" w:color="auto" w:fill="auto"/>
            <w:vAlign w:val="center"/>
          </w:tcPr>
          <w:p w:rsidR="00670492" w:rsidRPr="0023607D" w:rsidRDefault="001429DF">
            <w:pPr>
              <w:pBdr>
                <w:top w:val="nil"/>
                <w:left w:val="nil"/>
                <w:bottom w:val="nil"/>
                <w:right w:val="nil"/>
                <w:between w:val="nil"/>
              </w:pBdr>
              <w:spacing w:after="0" w:line="240" w:lineRule="auto"/>
              <w:jc w:val="right"/>
              <w:rPr>
                <w:rFonts w:ascii="Arial" w:eastAsia="Arial" w:hAnsi="Arial" w:cs="Arial"/>
                <w:color w:val="auto"/>
                <w:sz w:val="20"/>
                <w:szCs w:val="20"/>
              </w:rPr>
            </w:pPr>
            <w:r w:rsidRPr="0023607D">
              <w:rPr>
                <w:rFonts w:ascii="Arial" w:eastAsia="Arial" w:hAnsi="Arial" w:cs="Arial"/>
                <w:color w:val="auto"/>
                <w:sz w:val="20"/>
                <w:szCs w:val="20"/>
              </w:rPr>
              <w:t>$88,435</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0492" w:rsidRPr="0023607D" w:rsidRDefault="001429DF">
            <w:pPr>
              <w:pBdr>
                <w:top w:val="nil"/>
                <w:left w:val="nil"/>
                <w:bottom w:val="nil"/>
                <w:right w:val="nil"/>
                <w:between w:val="nil"/>
              </w:pBdr>
              <w:spacing w:after="0" w:line="240" w:lineRule="auto"/>
              <w:jc w:val="right"/>
              <w:rPr>
                <w:rFonts w:ascii="Arial" w:eastAsia="Arial" w:hAnsi="Arial" w:cs="Arial"/>
                <w:color w:val="auto"/>
                <w:sz w:val="20"/>
                <w:szCs w:val="20"/>
              </w:rPr>
            </w:pPr>
            <w:r w:rsidRPr="0023607D">
              <w:rPr>
                <w:rFonts w:ascii="Arial" w:eastAsia="Arial" w:hAnsi="Arial" w:cs="Arial"/>
                <w:color w:val="auto"/>
                <w:sz w:val="20"/>
                <w:szCs w:val="20"/>
              </w:rPr>
              <w:t>$89,573</w:t>
            </w:r>
          </w:p>
        </w:tc>
      </w:tr>
      <w:tr w:rsidR="00670492">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0492" w:rsidRPr="0023607D" w:rsidRDefault="001429DF">
            <w:pPr>
              <w:spacing w:after="0" w:line="240" w:lineRule="auto"/>
              <w:rPr>
                <w:b/>
                <w:color w:val="auto"/>
                <w:sz w:val="20"/>
                <w:szCs w:val="20"/>
              </w:rPr>
            </w:pPr>
            <w:r w:rsidRPr="0023607D">
              <w:rPr>
                <w:b/>
                <w:color w:val="auto"/>
                <w:sz w:val="20"/>
                <w:szCs w:val="20"/>
              </w:rPr>
              <w:t>Perkins V</w:t>
            </w:r>
          </w:p>
        </w:tc>
        <w:tc>
          <w:tcPr>
            <w:tcW w:w="2040" w:type="dxa"/>
            <w:tcBorders>
              <w:top w:val="nil"/>
              <w:left w:val="nil"/>
              <w:bottom w:val="single" w:sz="4" w:space="0" w:color="999999"/>
              <w:right w:val="single" w:sz="4" w:space="0" w:color="999999"/>
            </w:tcBorders>
            <w:shd w:val="clear" w:color="auto" w:fill="auto"/>
            <w:vAlign w:val="center"/>
          </w:tcPr>
          <w:p w:rsidR="00670492" w:rsidRPr="0023607D" w:rsidRDefault="001429DF">
            <w:pPr>
              <w:pBdr>
                <w:top w:val="nil"/>
                <w:left w:val="nil"/>
                <w:bottom w:val="nil"/>
                <w:right w:val="nil"/>
                <w:between w:val="nil"/>
              </w:pBdr>
              <w:spacing w:after="0" w:line="240" w:lineRule="auto"/>
              <w:jc w:val="right"/>
              <w:rPr>
                <w:rFonts w:ascii="Arial" w:eastAsia="Arial" w:hAnsi="Arial" w:cs="Arial"/>
                <w:color w:val="auto"/>
                <w:sz w:val="20"/>
                <w:szCs w:val="20"/>
              </w:rPr>
            </w:pPr>
            <w:r w:rsidRPr="0023607D">
              <w:rPr>
                <w:rFonts w:ascii="Arial" w:eastAsia="Arial" w:hAnsi="Arial" w:cs="Arial"/>
                <w:color w:val="auto"/>
                <w:sz w:val="20"/>
                <w:szCs w:val="20"/>
              </w:rPr>
              <w:t>$2,000</w:t>
            </w:r>
          </w:p>
        </w:tc>
        <w:tc>
          <w:tcPr>
            <w:tcW w:w="2040" w:type="dxa"/>
            <w:tcBorders>
              <w:top w:val="nil"/>
              <w:left w:val="nil"/>
              <w:bottom w:val="single" w:sz="4" w:space="0" w:color="999999"/>
              <w:right w:val="single" w:sz="4" w:space="0" w:color="999999"/>
            </w:tcBorders>
            <w:shd w:val="clear" w:color="auto" w:fill="auto"/>
            <w:vAlign w:val="center"/>
          </w:tcPr>
          <w:p w:rsidR="00670492" w:rsidRPr="0023607D" w:rsidRDefault="001429DF">
            <w:pPr>
              <w:pBdr>
                <w:top w:val="nil"/>
                <w:left w:val="nil"/>
                <w:bottom w:val="nil"/>
                <w:right w:val="nil"/>
                <w:between w:val="nil"/>
              </w:pBdr>
              <w:spacing w:after="0" w:line="240" w:lineRule="auto"/>
              <w:jc w:val="right"/>
              <w:rPr>
                <w:rFonts w:ascii="Arial" w:eastAsia="Arial" w:hAnsi="Arial" w:cs="Arial"/>
                <w:color w:val="auto"/>
                <w:sz w:val="20"/>
                <w:szCs w:val="20"/>
              </w:rPr>
            </w:pPr>
            <w:r w:rsidRPr="0023607D">
              <w:rPr>
                <w:rFonts w:ascii="Arial" w:eastAsia="Arial" w:hAnsi="Arial" w:cs="Arial"/>
                <w:color w:val="auto"/>
                <w:sz w:val="20"/>
                <w:szCs w:val="20"/>
              </w:rPr>
              <w:t xml:space="preserve">          $2,000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0492" w:rsidRPr="0023607D" w:rsidRDefault="001429DF">
            <w:pPr>
              <w:pBdr>
                <w:top w:val="nil"/>
                <w:left w:val="nil"/>
                <w:bottom w:val="nil"/>
                <w:right w:val="nil"/>
                <w:between w:val="nil"/>
              </w:pBdr>
              <w:spacing w:after="0" w:line="240" w:lineRule="auto"/>
              <w:jc w:val="right"/>
              <w:rPr>
                <w:rFonts w:ascii="Arial" w:eastAsia="Arial" w:hAnsi="Arial" w:cs="Arial"/>
                <w:color w:val="auto"/>
                <w:sz w:val="20"/>
                <w:szCs w:val="20"/>
              </w:rPr>
            </w:pPr>
            <w:r w:rsidRPr="0023607D">
              <w:rPr>
                <w:rFonts w:ascii="Arial" w:eastAsia="Arial" w:hAnsi="Arial" w:cs="Arial"/>
                <w:color w:val="auto"/>
                <w:sz w:val="20"/>
                <w:szCs w:val="20"/>
              </w:rPr>
              <w:t>$2,000</w:t>
            </w:r>
          </w:p>
        </w:tc>
      </w:tr>
      <w:tr w:rsidR="00670492">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0492" w:rsidRPr="0023607D" w:rsidRDefault="001429DF">
            <w:pPr>
              <w:spacing w:after="0" w:line="240" w:lineRule="auto"/>
              <w:rPr>
                <w:b/>
                <w:color w:val="auto"/>
                <w:sz w:val="20"/>
                <w:szCs w:val="20"/>
              </w:rPr>
            </w:pPr>
            <w:r w:rsidRPr="0023607D">
              <w:rPr>
                <w:b/>
                <w:color w:val="auto"/>
                <w:sz w:val="20"/>
                <w:szCs w:val="20"/>
              </w:rPr>
              <w:t>WIOA II</w:t>
            </w:r>
          </w:p>
        </w:tc>
        <w:tc>
          <w:tcPr>
            <w:tcW w:w="2040" w:type="dxa"/>
            <w:tcBorders>
              <w:top w:val="nil"/>
              <w:left w:val="nil"/>
              <w:bottom w:val="single" w:sz="4" w:space="0" w:color="999999"/>
              <w:right w:val="single" w:sz="4" w:space="0" w:color="999999"/>
            </w:tcBorders>
            <w:shd w:val="clear" w:color="auto" w:fill="auto"/>
            <w:vAlign w:val="center"/>
          </w:tcPr>
          <w:p w:rsidR="00670492" w:rsidRPr="0023607D" w:rsidRDefault="001429DF">
            <w:pPr>
              <w:pBdr>
                <w:top w:val="nil"/>
                <w:left w:val="nil"/>
                <w:bottom w:val="nil"/>
                <w:right w:val="nil"/>
                <w:between w:val="nil"/>
              </w:pBdr>
              <w:spacing w:after="0" w:line="240" w:lineRule="auto"/>
              <w:jc w:val="right"/>
              <w:rPr>
                <w:rFonts w:ascii="Arial" w:eastAsia="Arial" w:hAnsi="Arial" w:cs="Arial"/>
                <w:color w:val="auto"/>
                <w:sz w:val="20"/>
                <w:szCs w:val="20"/>
              </w:rPr>
            </w:pPr>
            <w:r w:rsidRPr="0023607D">
              <w:rPr>
                <w:rFonts w:ascii="Arial" w:eastAsia="Arial" w:hAnsi="Arial" w:cs="Arial"/>
                <w:color w:val="auto"/>
                <w:sz w:val="20"/>
                <w:szCs w:val="20"/>
              </w:rPr>
              <w:t>$752,560</w:t>
            </w:r>
          </w:p>
        </w:tc>
        <w:tc>
          <w:tcPr>
            <w:tcW w:w="2040" w:type="dxa"/>
            <w:tcBorders>
              <w:top w:val="nil"/>
              <w:left w:val="nil"/>
              <w:bottom w:val="single" w:sz="4" w:space="0" w:color="999999"/>
              <w:right w:val="single" w:sz="4" w:space="0" w:color="999999"/>
            </w:tcBorders>
            <w:shd w:val="clear" w:color="auto" w:fill="auto"/>
            <w:vAlign w:val="center"/>
          </w:tcPr>
          <w:p w:rsidR="00670492" w:rsidRPr="0023607D" w:rsidRDefault="001429DF">
            <w:pPr>
              <w:pBdr>
                <w:top w:val="nil"/>
                <w:left w:val="nil"/>
                <w:bottom w:val="nil"/>
                <w:right w:val="nil"/>
                <w:between w:val="nil"/>
              </w:pBdr>
              <w:spacing w:after="0" w:line="240" w:lineRule="auto"/>
              <w:jc w:val="right"/>
              <w:rPr>
                <w:rFonts w:ascii="Arial" w:eastAsia="Arial" w:hAnsi="Arial" w:cs="Arial"/>
                <w:color w:val="auto"/>
                <w:sz w:val="20"/>
                <w:szCs w:val="20"/>
              </w:rPr>
            </w:pPr>
            <w:r w:rsidRPr="0023607D">
              <w:rPr>
                <w:rFonts w:ascii="Arial" w:eastAsia="Arial" w:hAnsi="Arial" w:cs="Arial"/>
                <w:color w:val="auto"/>
                <w:sz w:val="20"/>
                <w:szCs w:val="20"/>
              </w:rPr>
              <w:t>$772,663</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0492" w:rsidRPr="0023607D" w:rsidRDefault="001429DF">
            <w:pPr>
              <w:pBdr>
                <w:top w:val="nil"/>
                <w:left w:val="nil"/>
                <w:bottom w:val="nil"/>
                <w:right w:val="nil"/>
                <w:between w:val="nil"/>
              </w:pBdr>
              <w:spacing w:after="0" w:line="240" w:lineRule="auto"/>
              <w:jc w:val="right"/>
              <w:rPr>
                <w:rFonts w:ascii="Arial" w:eastAsia="Arial" w:hAnsi="Arial" w:cs="Arial"/>
                <w:color w:val="auto"/>
                <w:sz w:val="20"/>
                <w:szCs w:val="20"/>
              </w:rPr>
            </w:pPr>
            <w:r w:rsidRPr="0023607D">
              <w:rPr>
                <w:rFonts w:ascii="Arial" w:eastAsia="Arial" w:hAnsi="Arial" w:cs="Arial"/>
                <w:color w:val="auto"/>
                <w:sz w:val="20"/>
                <w:szCs w:val="20"/>
              </w:rPr>
              <w:t>$793,569</w:t>
            </w:r>
          </w:p>
        </w:tc>
      </w:tr>
      <w:tr w:rsidR="00670492">
        <w:trPr>
          <w:trHeight w:val="500"/>
        </w:trPr>
        <w:tc>
          <w:tcPr>
            <w:tcW w:w="3420" w:type="dxa"/>
            <w:tcBorders>
              <w:top w:val="single" w:sz="4" w:space="0" w:color="999999"/>
              <w:left w:val="single" w:sz="4" w:space="0" w:color="999999"/>
              <w:bottom w:val="single" w:sz="4" w:space="0" w:color="999999"/>
              <w:right w:val="nil"/>
            </w:tcBorders>
            <w:shd w:val="clear" w:color="auto" w:fill="C0C0C0"/>
            <w:vAlign w:val="center"/>
          </w:tcPr>
          <w:p w:rsidR="00670492" w:rsidRPr="0023607D" w:rsidRDefault="001429DF">
            <w:pPr>
              <w:spacing w:after="0" w:line="240" w:lineRule="auto"/>
              <w:rPr>
                <w:b/>
                <w:color w:val="auto"/>
                <w:sz w:val="20"/>
                <w:szCs w:val="20"/>
              </w:rPr>
            </w:pPr>
            <w:r w:rsidRPr="0023607D">
              <w:rPr>
                <w:b/>
                <w:color w:val="auto"/>
                <w:sz w:val="20"/>
                <w:szCs w:val="20"/>
              </w:rPr>
              <w:t>Other</w:t>
            </w:r>
          </w:p>
        </w:tc>
        <w:tc>
          <w:tcPr>
            <w:tcW w:w="2040" w:type="dxa"/>
            <w:tcBorders>
              <w:top w:val="nil"/>
              <w:left w:val="nil"/>
              <w:bottom w:val="single" w:sz="4" w:space="0" w:color="999999"/>
              <w:right w:val="nil"/>
            </w:tcBorders>
            <w:shd w:val="clear" w:color="auto" w:fill="C0C0C0"/>
            <w:vAlign w:val="center"/>
          </w:tcPr>
          <w:p w:rsidR="00670492" w:rsidRPr="0023607D" w:rsidRDefault="001429DF">
            <w:pPr>
              <w:spacing w:after="0" w:line="240" w:lineRule="auto"/>
              <w:jc w:val="right"/>
              <w:rPr>
                <w:rFonts w:ascii="Calibri" w:eastAsia="Calibri" w:hAnsi="Calibri" w:cs="Calibri"/>
                <w:b/>
                <w:color w:val="auto"/>
                <w:sz w:val="20"/>
                <w:szCs w:val="20"/>
              </w:rPr>
            </w:pPr>
            <w:r w:rsidRPr="0023607D">
              <w:rPr>
                <w:rFonts w:ascii="Calibri" w:eastAsia="Calibri" w:hAnsi="Calibri" w:cs="Calibri"/>
                <w:b/>
                <w:color w:val="auto"/>
                <w:sz w:val="20"/>
                <w:szCs w:val="20"/>
              </w:rPr>
              <w:t>$0</w:t>
            </w:r>
          </w:p>
        </w:tc>
        <w:tc>
          <w:tcPr>
            <w:tcW w:w="2040" w:type="dxa"/>
            <w:tcBorders>
              <w:top w:val="nil"/>
              <w:left w:val="nil"/>
              <w:bottom w:val="single" w:sz="4" w:space="0" w:color="999999"/>
              <w:right w:val="nil"/>
            </w:tcBorders>
            <w:shd w:val="clear" w:color="auto" w:fill="C0C0C0"/>
            <w:vAlign w:val="center"/>
          </w:tcPr>
          <w:p w:rsidR="00670492" w:rsidRPr="0023607D" w:rsidRDefault="001429DF">
            <w:pPr>
              <w:spacing w:after="0" w:line="240" w:lineRule="auto"/>
              <w:jc w:val="right"/>
              <w:rPr>
                <w:rFonts w:ascii="Calibri" w:eastAsia="Calibri" w:hAnsi="Calibri" w:cs="Calibri"/>
                <w:b/>
                <w:color w:val="auto"/>
                <w:sz w:val="20"/>
                <w:szCs w:val="20"/>
              </w:rPr>
            </w:pPr>
            <w:r w:rsidRPr="0023607D">
              <w:rPr>
                <w:rFonts w:ascii="Calibri" w:eastAsia="Calibri" w:hAnsi="Calibri" w:cs="Calibri"/>
                <w:b/>
                <w:color w:val="auto"/>
                <w:sz w:val="20"/>
                <w:szCs w:val="20"/>
              </w:rPr>
              <w:t>$0</w:t>
            </w:r>
          </w:p>
        </w:tc>
        <w:tc>
          <w:tcPr>
            <w:tcW w:w="2040" w:type="dxa"/>
            <w:tcBorders>
              <w:top w:val="single" w:sz="4" w:space="0" w:color="999999"/>
              <w:left w:val="nil"/>
              <w:bottom w:val="single" w:sz="4" w:space="0" w:color="999999"/>
              <w:right w:val="single" w:sz="4" w:space="0" w:color="999999"/>
            </w:tcBorders>
            <w:shd w:val="clear" w:color="auto" w:fill="C0C0C0"/>
            <w:vAlign w:val="center"/>
          </w:tcPr>
          <w:p w:rsidR="00670492" w:rsidRPr="0023607D" w:rsidRDefault="001429DF">
            <w:pPr>
              <w:spacing w:after="0" w:line="240" w:lineRule="auto"/>
              <w:jc w:val="right"/>
              <w:rPr>
                <w:rFonts w:ascii="Calibri" w:eastAsia="Calibri" w:hAnsi="Calibri" w:cs="Calibri"/>
                <w:b/>
                <w:color w:val="auto"/>
                <w:sz w:val="20"/>
                <w:szCs w:val="20"/>
              </w:rPr>
            </w:pPr>
            <w:r w:rsidRPr="0023607D">
              <w:rPr>
                <w:rFonts w:ascii="Calibri" w:eastAsia="Calibri" w:hAnsi="Calibri" w:cs="Calibri"/>
                <w:b/>
                <w:color w:val="auto"/>
                <w:sz w:val="20"/>
                <w:szCs w:val="20"/>
              </w:rPr>
              <w:t>$0</w:t>
            </w:r>
          </w:p>
        </w:tc>
      </w:tr>
      <w:tr w:rsidR="00670492">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0492" w:rsidRPr="0023607D" w:rsidRDefault="001429DF">
            <w:pPr>
              <w:spacing w:after="0" w:line="240" w:lineRule="auto"/>
              <w:rPr>
                <w:b/>
                <w:color w:val="auto"/>
                <w:sz w:val="20"/>
                <w:szCs w:val="20"/>
              </w:rPr>
            </w:pPr>
            <w:r w:rsidRPr="0023607D">
              <w:rPr>
                <w:b/>
                <w:color w:val="auto"/>
                <w:sz w:val="20"/>
                <w:szCs w:val="20"/>
              </w:rPr>
              <w:t>Fees Collected for CTE Classes</w:t>
            </w:r>
          </w:p>
        </w:tc>
        <w:tc>
          <w:tcPr>
            <w:tcW w:w="2040" w:type="dxa"/>
            <w:tcBorders>
              <w:top w:val="nil"/>
              <w:left w:val="nil"/>
              <w:bottom w:val="single" w:sz="4" w:space="0" w:color="999999"/>
              <w:right w:val="single" w:sz="4" w:space="0" w:color="999999"/>
            </w:tcBorders>
            <w:shd w:val="clear" w:color="auto" w:fill="auto"/>
            <w:vAlign w:val="center"/>
          </w:tcPr>
          <w:p w:rsidR="00670492" w:rsidRPr="0023607D" w:rsidRDefault="001429DF">
            <w:pPr>
              <w:spacing w:after="0" w:line="240" w:lineRule="auto"/>
              <w:jc w:val="right"/>
              <w:rPr>
                <w:rFonts w:ascii="Calibri" w:eastAsia="Calibri" w:hAnsi="Calibri" w:cs="Calibri"/>
                <w:color w:val="auto"/>
                <w:sz w:val="20"/>
                <w:szCs w:val="20"/>
              </w:rPr>
            </w:pPr>
            <w:r w:rsidRPr="0023607D">
              <w:rPr>
                <w:rFonts w:ascii="Arial" w:eastAsia="Arial" w:hAnsi="Arial" w:cs="Arial"/>
                <w:color w:val="auto"/>
                <w:sz w:val="20"/>
                <w:szCs w:val="20"/>
              </w:rPr>
              <w:t>$246,489</w:t>
            </w:r>
          </w:p>
        </w:tc>
        <w:tc>
          <w:tcPr>
            <w:tcW w:w="2040" w:type="dxa"/>
            <w:tcBorders>
              <w:top w:val="nil"/>
              <w:left w:val="nil"/>
              <w:bottom w:val="single" w:sz="4" w:space="0" w:color="999999"/>
              <w:right w:val="single" w:sz="4" w:space="0" w:color="999999"/>
            </w:tcBorders>
            <w:shd w:val="clear" w:color="auto" w:fill="auto"/>
            <w:vAlign w:val="center"/>
          </w:tcPr>
          <w:p w:rsidR="00670492" w:rsidRPr="0023607D" w:rsidRDefault="001429DF">
            <w:pPr>
              <w:spacing w:after="0" w:line="240" w:lineRule="auto"/>
              <w:jc w:val="right"/>
              <w:rPr>
                <w:rFonts w:ascii="Calibri" w:eastAsia="Calibri" w:hAnsi="Calibri" w:cs="Calibri"/>
                <w:color w:val="auto"/>
                <w:sz w:val="20"/>
                <w:szCs w:val="20"/>
              </w:rPr>
            </w:pPr>
            <w:r w:rsidRPr="0023607D">
              <w:rPr>
                <w:rFonts w:ascii="Arial" w:eastAsia="Arial" w:hAnsi="Arial" w:cs="Arial"/>
                <w:color w:val="auto"/>
                <w:sz w:val="20"/>
                <w:szCs w:val="20"/>
              </w:rPr>
              <w:t>$261,948</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0492" w:rsidRPr="0023607D" w:rsidRDefault="001429DF">
            <w:pPr>
              <w:spacing w:after="0" w:line="240" w:lineRule="auto"/>
              <w:jc w:val="right"/>
              <w:rPr>
                <w:rFonts w:ascii="Calibri" w:eastAsia="Calibri" w:hAnsi="Calibri" w:cs="Calibri"/>
                <w:color w:val="auto"/>
                <w:sz w:val="20"/>
                <w:szCs w:val="20"/>
              </w:rPr>
            </w:pPr>
            <w:r w:rsidRPr="0023607D">
              <w:rPr>
                <w:rFonts w:ascii="Arial" w:eastAsia="Arial" w:hAnsi="Arial" w:cs="Arial"/>
                <w:color w:val="auto"/>
                <w:sz w:val="20"/>
                <w:szCs w:val="20"/>
              </w:rPr>
              <w:t>$257,626</w:t>
            </w:r>
          </w:p>
        </w:tc>
      </w:tr>
      <w:tr w:rsidR="00670492">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0492" w:rsidRPr="0023607D" w:rsidRDefault="001429DF">
            <w:pPr>
              <w:spacing w:after="0" w:line="240" w:lineRule="auto"/>
              <w:rPr>
                <w:b/>
                <w:color w:val="auto"/>
                <w:sz w:val="20"/>
                <w:szCs w:val="20"/>
              </w:rPr>
            </w:pPr>
            <w:r w:rsidRPr="0023607D">
              <w:rPr>
                <w:b/>
                <w:color w:val="auto"/>
                <w:sz w:val="20"/>
                <w:szCs w:val="20"/>
              </w:rPr>
              <w:t>Strong Workforce (College)</w:t>
            </w:r>
          </w:p>
        </w:tc>
        <w:tc>
          <w:tcPr>
            <w:tcW w:w="2040" w:type="dxa"/>
            <w:tcBorders>
              <w:top w:val="nil"/>
              <w:left w:val="nil"/>
              <w:bottom w:val="single" w:sz="4" w:space="0" w:color="999999"/>
              <w:right w:val="single" w:sz="4" w:space="0" w:color="999999"/>
            </w:tcBorders>
            <w:shd w:val="clear" w:color="auto" w:fill="auto"/>
            <w:vAlign w:val="center"/>
          </w:tcPr>
          <w:p w:rsidR="00670492" w:rsidRPr="0023607D" w:rsidRDefault="001429DF">
            <w:pPr>
              <w:spacing w:after="0" w:line="240" w:lineRule="auto"/>
              <w:jc w:val="right"/>
              <w:rPr>
                <w:rFonts w:ascii="Calibri" w:eastAsia="Calibri" w:hAnsi="Calibri" w:cs="Calibri"/>
                <w:color w:val="auto"/>
                <w:sz w:val="20"/>
                <w:szCs w:val="20"/>
              </w:rPr>
            </w:pPr>
            <w:r w:rsidRPr="0023607D">
              <w:rPr>
                <w:rFonts w:ascii="Calibri" w:eastAsia="Calibri" w:hAnsi="Calibri" w:cs="Calibri"/>
                <w:color w:val="auto"/>
                <w:sz w:val="20"/>
                <w:szCs w:val="20"/>
              </w:rPr>
              <w:t>$2,500</w:t>
            </w:r>
          </w:p>
        </w:tc>
        <w:tc>
          <w:tcPr>
            <w:tcW w:w="2040" w:type="dxa"/>
            <w:tcBorders>
              <w:top w:val="nil"/>
              <w:left w:val="nil"/>
              <w:bottom w:val="single" w:sz="4" w:space="0" w:color="999999"/>
              <w:right w:val="single" w:sz="4" w:space="0" w:color="999999"/>
            </w:tcBorders>
            <w:shd w:val="clear" w:color="auto" w:fill="auto"/>
            <w:vAlign w:val="center"/>
          </w:tcPr>
          <w:p w:rsidR="00670492" w:rsidRPr="0023607D" w:rsidRDefault="001429DF">
            <w:pPr>
              <w:spacing w:after="0" w:line="240" w:lineRule="auto"/>
              <w:jc w:val="right"/>
              <w:rPr>
                <w:rFonts w:ascii="Calibri" w:eastAsia="Calibri" w:hAnsi="Calibri" w:cs="Calibri"/>
                <w:color w:val="auto"/>
                <w:sz w:val="20"/>
                <w:szCs w:val="20"/>
              </w:rPr>
            </w:pPr>
            <w:r w:rsidRPr="0023607D">
              <w:rPr>
                <w:rFonts w:ascii="Calibri" w:eastAsia="Calibri" w:hAnsi="Calibri" w:cs="Calibri"/>
                <w:color w:val="auto"/>
                <w:sz w:val="20"/>
                <w:szCs w:val="20"/>
              </w:rPr>
              <w:t>$0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670492" w:rsidRPr="0023607D" w:rsidRDefault="001429DF">
            <w:pPr>
              <w:spacing w:after="0" w:line="240" w:lineRule="auto"/>
              <w:jc w:val="right"/>
              <w:rPr>
                <w:rFonts w:ascii="Calibri" w:eastAsia="Calibri" w:hAnsi="Calibri" w:cs="Calibri"/>
                <w:color w:val="auto"/>
                <w:sz w:val="20"/>
                <w:szCs w:val="20"/>
              </w:rPr>
            </w:pPr>
            <w:r w:rsidRPr="0023607D">
              <w:rPr>
                <w:rFonts w:ascii="Calibri" w:eastAsia="Calibri" w:hAnsi="Calibri" w:cs="Calibri"/>
                <w:color w:val="auto"/>
                <w:sz w:val="20"/>
                <w:szCs w:val="20"/>
              </w:rPr>
              <w:t>$0</w:t>
            </w:r>
          </w:p>
        </w:tc>
      </w:tr>
      <w:tr w:rsidR="00670492">
        <w:trPr>
          <w:trHeight w:val="500"/>
        </w:trPr>
        <w:tc>
          <w:tcPr>
            <w:tcW w:w="3420" w:type="dxa"/>
            <w:tcBorders>
              <w:top w:val="single" w:sz="6" w:space="0" w:color="000000"/>
              <w:left w:val="single" w:sz="4" w:space="0" w:color="999999"/>
              <w:bottom w:val="single" w:sz="4" w:space="0" w:color="999999"/>
              <w:right w:val="single" w:sz="4" w:space="0" w:color="999999"/>
            </w:tcBorders>
            <w:shd w:val="clear" w:color="auto" w:fill="073763"/>
            <w:vAlign w:val="center"/>
          </w:tcPr>
          <w:p w:rsidR="00670492" w:rsidRDefault="001429DF">
            <w:pPr>
              <w:spacing w:after="0" w:line="240" w:lineRule="auto"/>
              <w:rPr>
                <w:b/>
                <w:color w:val="FFFFFF"/>
                <w:sz w:val="20"/>
                <w:szCs w:val="20"/>
              </w:rPr>
            </w:pPr>
            <w:r>
              <w:rPr>
                <w:b/>
                <w:color w:val="FFFFFF"/>
                <w:sz w:val="20"/>
                <w:szCs w:val="20"/>
              </w:rPr>
              <w:t>Total</w:t>
            </w:r>
          </w:p>
        </w:tc>
        <w:tc>
          <w:tcPr>
            <w:tcW w:w="2040" w:type="dxa"/>
            <w:tcBorders>
              <w:top w:val="single" w:sz="6" w:space="0" w:color="000000"/>
              <w:left w:val="single" w:sz="4" w:space="0" w:color="999999"/>
              <w:bottom w:val="single" w:sz="4" w:space="0" w:color="999999"/>
              <w:right w:val="single" w:sz="4" w:space="0" w:color="999999"/>
            </w:tcBorders>
            <w:shd w:val="clear" w:color="auto" w:fill="073763"/>
            <w:vAlign w:val="center"/>
          </w:tcPr>
          <w:p w:rsidR="00670492" w:rsidRDefault="001429DF">
            <w:pPr>
              <w:spacing w:after="0" w:line="240" w:lineRule="auto"/>
              <w:jc w:val="right"/>
              <w:rPr>
                <w:rFonts w:ascii="Calibri" w:eastAsia="Calibri" w:hAnsi="Calibri" w:cs="Calibri"/>
                <w:b/>
                <w:color w:val="FFFFFF"/>
                <w:sz w:val="20"/>
                <w:szCs w:val="20"/>
              </w:rPr>
            </w:pPr>
            <w:r>
              <w:rPr>
                <w:rFonts w:ascii="Calibri" w:eastAsia="Calibri" w:hAnsi="Calibri" w:cs="Calibri"/>
                <w:b/>
                <w:color w:val="FFFFFF"/>
                <w:sz w:val="20"/>
                <w:szCs w:val="20"/>
              </w:rPr>
              <w:t>$4,325,831</w:t>
            </w:r>
          </w:p>
        </w:tc>
        <w:tc>
          <w:tcPr>
            <w:tcW w:w="2040" w:type="dxa"/>
            <w:tcBorders>
              <w:top w:val="single" w:sz="6" w:space="0" w:color="000000"/>
              <w:left w:val="single" w:sz="4" w:space="0" w:color="999999"/>
              <w:bottom w:val="single" w:sz="4" w:space="0" w:color="999999"/>
              <w:right w:val="single" w:sz="4" w:space="0" w:color="999999"/>
            </w:tcBorders>
            <w:shd w:val="clear" w:color="auto" w:fill="073763"/>
            <w:vAlign w:val="center"/>
          </w:tcPr>
          <w:p w:rsidR="00670492" w:rsidRDefault="001429DF">
            <w:pPr>
              <w:spacing w:after="0" w:line="240" w:lineRule="auto"/>
              <w:jc w:val="right"/>
              <w:rPr>
                <w:rFonts w:ascii="Calibri" w:eastAsia="Calibri" w:hAnsi="Calibri" w:cs="Calibri"/>
                <w:b/>
                <w:color w:val="FFFFFF"/>
                <w:sz w:val="20"/>
                <w:szCs w:val="20"/>
              </w:rPr>
            </w:pPr>
            <w:r>
              <w:rPr>
                <w:rFonts w:ascii="Calibri" w:eastAsia="Calibri" w:hAnsi="Calibri" w:cs="Calibri"/>
                <w:b/>
                <w:color w:val="FFFFFF"/>
                <w:sz w:val="20"/>
                <w:szCs w:val="20"/>
              </w:rPr>
              <w:t>$4,498,864</w:t>
            </w:r>
          </w:p>
        </w:tc>
        <w:tc>
          <w:tcPr>
            <w:tcW w:w="2040" w:type="dxa"/>
            <w:tcBorders>
              <w:top w:val="single" w:sz="6" w:space="0" w:color="000000"/>
              <w:left w:val="single" w:sz="4" w:space="0" w:color="999999"/>
              <w:bottom w:val="single" w:sz="4" w:space="0" w:color="999999"/>
              <w:right w:val="single" w:sz="4" w:space="0" w:color="999999"/>
            </w:tcBorders>
            <w:shd w:val="clear" w:color="auto" w:fill="073763"/>
            <w:vAlign w:val="center"/>
          </w:tcPr>
          <w:p w:rsidR="00670492" w:rsidRDefault="001429DF">
            <w:pPr>
              <w:spacing w:after="0" w:line="240" w:lineRule="auto"/>
              <w:jc w:val="right"/>
              <w:rPr>
                <w:rFonts w:ascii="Calibri" w:eastAsia="Calibri" w:hAnsi="Calibri" w:cs="Calibri"/>
                <w:b/>
                <w:color w:val="FFFFFF"/>
                <w:sz w:val="20"/>
                <w:szCs w:val="20"/>
              </w:rPr>
            </w:pPr>
            <w:r>
              <w:rPr>
                <w:rFonts w:ascii="Calibri" w:eastAsia="Calibri" w:hAnsi="Calibri" w:cs="Calibri"/>
                <w:b/>
                <w:color w:val="FFFFFF"/>
                <w:sz w:val="20"/>
                <w:szCs w:val="20"/>
              </w:rPr>
              <w:t>$4,678,819</w:t>
            </w:r>
          </w:p>
        </w:tc>
      </w:tr>
    </w:tbl>
    <w:p w:rsidR="00670492" w:rsidRDefault="00670492">
      <w:pPr>
        <w:pStyle w:val="Heading2"/>
        <w:pBdr>
          <w:bottom w:val="none" w:sz="0" w:space="0" w:color="000000"/>
        </w:pBdr>
      </w:pPr>
      <w:bookmarkStart w:id="30" w:name="_1ksv4uv" w:colFirst="0" w:colLast="0"/>
      <w:bookmarkEnd w:id="30"/>
    </w:p>
    <w:p w:rsidR="00670492" w:rsidRDefault="001429DF">
      <w:pPr>
        <w:spacing w:after="0" w:line="240" w:lineRule="auto"/>
        <w:rPr>
          <w:sz w:val="32"/>
          <w:szCs w:val="32"/>
          <w:u w:val="single"/>
        </w:rPr>
      </w:pPr>
      <w:r>
        <w:br w:type="page"/>
      </w:r>
    </w:p>
    <w:p w:rsidR="00670492" w:rsidRPr="00521425" w:rsidRDefault="001429DF">
      <w:pPr>
        <w:pStyle w:val="Heading2"/>
        <w:rPr>
          <w:rFonts w:ascii="Arial" w:hAnsi="Arial" w:cs="Arial"/>
          <w:color w:val="auto"/>
          <w:sz w:val="24"/>
          <w:szCs w:val="24"/>
        </w:rPr>
      </w:pPr>
      <w:bookmarkStart w:id="31" w:name="_Toc10017477"/>
      <w:r w:rsidRPr="00521425">
        <w:rPr>
          <w:rFonts w:ascii="Arial" w:hAnsi="Arial" w:cs="Arial"/>
          <w:color w:val="auto"/>
          <w:sz w:val="24"/>
          <w:szCs w:val="24"/>
        </w:rPr>
        <w:lastRenderedPageBreak/>
        <w:t>2.3 Community Need and Customers</w:t>
      </w:r>
      <w:bookmarkEnd w:id="31"/>
    </w:p>
    <w:p w:rsidR="00670492" w:rsidRPr="00521425" w:rsidRDefault="001429DF">
      <w:pPr>
        <w:rPr>
          <w:rFonts w:ascii="Arial" w:eastAsia="Calibri" w:hAnsi="Arial" w:cs="Arial"/>
          <w:b/>
          <w:color w:val="auto"/>
          <w:sz w:val="24"/>
          <w:szCs w:val="24"/>
        </w:rPr>
      </w:pPr>
      <w:bookmarkStart w:id="32" w:name="_2jxsxqh" w:colFirst="0" w:colLast="0"/>
      <w:bookmarkStart w:id="33" w:name="_ki4hz4rgs67p" w:colFirst="0" w:colLast="0"/>
      <w:bookmarkEnd w:id="32"/>
      <w:bookmarkEnd w:id="33"/>
      <w:r w:rsidRPr="00521425">
        <w:rPr>
          <w:rFonts w:ascii="Arial" w:eastAsia="Calibri" w:hAnsi="Arial" w:cs="Arial"/>
          <w:b/>
          <w:color w:val="auto"/>
          <w:sz w:val="24"/>
          <w:szCs w:val="24"/>
        </w:rPr>
        <w:t>1. Regional Need for Adult Education and Workforce Services</w:t>
      </w:r>
    </w:p>
    <w:p w:rsidR="00670492" w:rsidRPr="00521425" w:rsidRDefault="001429DF">
      <w:pPr>
        <w:rPr>
          <w:rFonts w:ascii="Arial" w:eastAsia="Calibri" w:hAnsi="Arial" w:cs="Arial"/>
          <w:color w:val="auto"/>
          <w:sz w:val="24"/>
          <w:szCs w:val="24"/>
        </w:rPr>
      </w:pPr>
      <w:bookmarkStart w:id="34" w:name="_ah0fx24tlc1f" w:colFirst="0" w:colLast="0"/>
      <w:bookmarkEnd w:id="34"/>
      <w:r w:rsidRPr="00521425">
        <w:rPr>
          <w:rFonts w:ascii="Arial" w:eastAsia="Calibri" w:hAnsi="Arial" w:cs="Arial"/>
          <w:color w:val="auto"/>
          <w:sz w:val="24"/>
          <w:szCs w:val="24"/>
        </w:rPr>
        <w:t xml:space="preserve">The Sierra Joint Consortium covers over 2500 square miles across Placer and Nevada Counties.  This wide geographical spread creates a number of unique factors for each consortium member to consider. However, some commonalities can be found.  The region has a relatively low percentage of adults who have not completed a high school diploma (between 5 – 8%) compared to the state overall.  Still, this represents close to 45,000 adults who would benefit from a high school completion or GED program and indicates a need to continue to offer this to our communities. A larger portion of our population, about 20%, have completed only a high school diploma which puts them at risk for unemployment and poverty, particularly during an economic downturn.  In light of this data, we believe developing high quality CTE training, industry certifications and viable pathways to post-secondary education is a priority for our communities.   </w:t>
      </w:r>
    </w:p>
    <w:p w:rsidR="00670492" w:rsidRPr="00521425" w:rsidRDefault="001429DF">
      <w:pPr>
        <w:rPr>
          <w:rFonts w:ascii="Arial" w:eastAsia="Calibri" w:hAnsi="Arial" w:cs="Arial"/>
          <w:color w:val="auto"/>
          <w:sz w:val="24"/>
          <w:szCs w:val="24"/>
        </w:rPr>
      </w:pPr>
      <w:bookmarkStart w:id="35" w:name="_imcnr5b4e4jk" w:colFirst="0" w:colLast="0"/>
      <w:bookmarkEnd w:id="35"/>
      <w:r w:rsidRPr="00521425">
        <w:rPr>
          <w:rFonts w:ascii="Arial" w:eastAsia="Calibri" w:hAnsi="Arial" w:cs="Arial"/>
          <w:color w:val="auto"/>
          <w:sz w:val="24"/>
          <w:szCs w:val="24"/>
        </w:rPr>
        <w:t xml:space="preserve">Given the vast geographical reach of our consortium, employment and industry needs vary. However, the LMI data shows healthcare (particularly healthcare support), construction, leisure and </w:t>
      </w:r>
      <w:r w:rsidR="0023607D" w:rsidRPr="00521425">
        <w:rPr>
          <w:rFonts w:ascii="Arial" w:eastAsia="Calibri" w:hAnsi="Arial" w:cs="Arial"/>
          <w:color w:val="auto"/>
          <w:sz w:val="24"/>
          <w:szCs w:val="24"/>
        </w:rPr>
        <w:t>hospitality, and</w:t>
      </w:r>
      <w:r w:rsidRPr="00521425">
        <w:rPr>
          <w:rFonts w:ascii="Arial" w:eastAsia="Calibri" w:hAnsi="Arial" w:cs="Arial"/>
          <w:color w:val="auto"/>
          <w:sz w:val="24"/>
          <w:szCs w:val="24"/>
        </w:rPr>
        <w:t xml:space="preserve"> administrative </w:t>
      </w:r>
      <w:r w:rsidR="0023607D" w:rsidRPr="00521425">
        <w:rPr>
          <w:rFonts w:ascii="Arial" w:eastAsia="Calibri" w:hAnsi="Arial" w:cs="Arial"/>
          <w:color w:val="auto"/>
          <w:sz w:val="24"/>
          <w:szCs w:val="24"/>
        </w:rPr>
        <w:t>support have</w:t>
      </w:r>
      <w:r w:rsidRPr="00521425">
        <w:rPr>
          <w:rFonts w:ascii="Arial" w:eastAsia="Calibri" w:hAnsi="Arial" w:cs="Arial"/>
          <w:color w:val="auto"/>
          <w:sz w:val="24"/>
          <w:szCs w:val="24"/>
        </w:rPr>
        <w:t xml:space="preserve"> the highest projected job growth across most of the region.  Truckee has unique industries, such as tourism and seasonal employment, and Western Nevada County has a greater number of government jobs.</w:t>
      </w:r>
    </w:p>
    <w:p w:rsidR="00670492" w:rsidRPr="00521425" w:rsidRDefault="001429DF">
      <w:pPr>
        <w:rPr>
          <w:rFonts w:ascii="Arial" w:eastAsia="Calibri" w:hAnsi="Arial" w:cs="Arial"/>
          <w:color w:val="auto"/>
          <w:sz w:val="24"/>
          <w:szCs w:val="24"/>
        </w:rPr>
      </w:pPr>
      <w:bookmarkStart w:id="36" w:name="_2z7jgce3xihr" w:colFirst="0" w:colLast="0"/>
      <w:bookmarkEnd w:id="36"/>
      <w:r w:rsidRPr="00521425">
        <w:rPr>
          <w:rFonts w:ascii="Arial" w:eastAsia="Calibri" w:hAnsi="Arial" w:cs="Arial"/>
          <w:color w:val="auto"/>
          <w:sz w:val="24"/>
          <w:szCs w:val="24"/>
        </w:rPr>
        <w:t>English language learners make up approximately 15- 20% of our counties’ populations (with a projection of growing to 35% by 2022) with specific areas, including Lincoln, Auburn and Truckee, at the higher end of this number.  There is a need to continue to grow our ESL programs, particularly looking for expansion in areas that currently lack this opportunity, such as Lincoln.</w:t>
      </w:r>
    </w:p>
    <w:p w:rsidR="00670492" w:rsidRPr="00521425" w:rsidRDefault="001429DF">
      <w:pPr>
        <w:rPr>
          <w:rFonts w:ascii="Arial" w:eastAsia="Calibri" w:hAnsi="Arial" w:cs="Arial"/>
          <w:color w:val="auto"/>
          <w:sz w:val="24"/>
          <w:szCs w:val="24"/>
        </w:rPr>
      </w:pPr>
      <w:bookmarkStart w:id="37" w:name="_ako2tbx0fsgg" w:colFirst="0" w:colLast="0"/>
      <w:bookmarkEnd w:id="37"/>
      <w:r w:rsidRPr="00521425">
        <w:rPr>
          <w:rFonts w:ascii="Arial" w:eastAsia="Calibri" w:hAnsi="Arial" w:cs="Arial"/>
          <w:color w:val="auto"/>
          <w:sz w:val="24"/>
          <w:szCs w:val="24"/>
        </w:rPr>
        <w:t xml:space="preserve">It’s important to reiterate that our consortium region is geographically vast and the customer needs and barriers vary.  We continue to look for opportunities to collaborate to leverage resources when addressing these needs, but often find ourselves </w:t>
      </w:r>
      <w:r w:rsidR="0023607D">
        <w:rPr>
          <w:rFonts w:ascii="Arial" w:eastAsia="Calibri" w:hAnsi="Arial" w:cs="Arial"/>
          <w:color w:val="auto"/>
          <w:sz w:val="24"/>
          <w:szCs w:val="24"/>
        </w:rPr>
        <w:t>“</w:t>
      </w:r>
      <w:proofErr w:type="spellStart"/>
      <w:r w:rsidRPr="00521425">
        <w:rPr>
          <w:rFonts w:ascii="Arial" w:eastAsia="Calibri" w:hAnsi="Arial" w:cs="Arial"/>
          <w:color w:val="auto"/>
          <w:sz w:val="24"/>
          <w:szCs w:val="24"/>
        </w:rPr>
        <w:t>siloed</w:t>
      </w:r>
      <w:proofErr w:type="spellEnd"/>
      <w:r w:rsidR="0023607D">
        <w:rPr>
          <w:rFonts w:ascii="Arial" w:eastAsia="Calibri" w:hAnsi="Arial" w:cs="Arial"/>
          <w:color w:val="auto"/>
          <w:sz w:val="24"/>
          <w:szCs w:val="24"/>
        </w:rPr>
        <w:t>”</w:t>
      </w:r>
      <w:r w:rsidRPr="00521425">
        <w:rPr>
          <w:rFonts w:ascii="Arial" w:eastAsia="Calibri" w:hAnsi="Arial" w:cs="Arial"/>
          <w:color w:val="auto"/>
          <w:sz w:val="24"/>
          <w:szCs w:val="24"/>
        </w:rPr>
        <w:t xml:space="preserve"> as a result of these differences.</w:t>
      </w:r>
    </w:p>
    <w:p w:rsidR="00670492" w:rsidRPr="00521425" w:rsidRDefault="001429DF">
      <w:pPr>
        <w:rPr>
          <w:rFonts w:ascii="Arial" w:eastAsia="Calibri" w:hAnsi="Arial" w:cs="Arial"/>
          <w:color w:val="auto"/>
          <w:sz w:val="24"/>
          <w:szCs w:val="24"/>
          <w:highlight w:val="yellow"/>
        </w:rPr>
      </w:pPr>
      <w:bookmarkStart w:id="38" w:name="_igds0cpkyyiw" w:colFirst="0" w:colLast="0"/>
      <w:bookmarkEnd w:id="38"/>
      <w:r w:rsidRPr="00521425">
        <w:rPr>
          <w:rFonts w:ascii="Arial" w:eastAsia="Calibri" w:hAnsi="Arial" w:cs="Arial"/>
          <w:color w:val="auto"/>
          <w:sz w:val="24"/>
          <w:szCs w:val="24"/>
        </w:rPr>
        <w:t xml:space="preserve">The tables below provide a snapshot of our communities. </w:t>
      </w:r>
    </w:p>
    <w:p w:rsidR="00670492" w:rsidRDefault="001429DF">
      <w:pPr>
        <w:rPr>
          <w:rFonts w:ascii="Arial" w:eastAsia="Calibri" w:hAnsi="Arial" w:cs="Arial"/>
          <w:color w:val="auto"/>
          <w:sz w:val="24"/>
          <w:szCs w:val="24"/>
        </w:rPr>
      </w:pPr>
      <w:bookmarkStart w:id="39" w:name="_je9t3z2zkzo5" w:colFirst="0" w:colLast="0"/>
      <w:bookmarkEnd w:id="39"/>
      <w:r w:rsidRPr="00521425">
        <w:rPr>
          <w:rFonts w:ascii="Arial" w:eastAsia="Calibri" w:hAnsi="Arial" w:cs="Arial"/>
          <w:color w:val="auto"/>
          <w:sz w:val="24"/>
          <w:szCs w:val="24"/>
        </w:rPr>
        <w:t>Placer County Demographics for Literacy, Graduation Rates, Language, Poverty, Income, Non-native Born, Housing Costs</w:t>
      </w:r>
    </w:p>
    <w:p w:rsidR="0023607D" w:rsidRDefault="0023607D">
      <w:pPr>
        <w:rPr>
          <w:rFonts w:ascii="Arial" w:eastAsia="Calibri" w:hAnsi="Arial" w:cs="Arial"/>
          <w:color w:val="auto"/>
          <w:sz w:val="24"/>
          <w:szCs w:val="24"/>
        </w:rPr>
      </w:pPr>
    </w:p>
    <w:p w:rsidR="0023607D" w:rsidRDefault="0023607D">
      <w:pPr>
        <w:rPr>
          <w:rFonts w:ascii="Arial" w:eastAsia="Calibri" w:hAnsi="Arial" w:cs="Arial"/>
          <w:color w:val="auto"/>
          <w:sz w:val="24"/>
          <w:szCs w:val="24"/>
        </w:rPr>
      </w:pPr>
    </w:p>
    <w:p w:rsidR="0023607D" w:rsidRPr="00521425" w:rsidRDefault="0023607D">
      <w:pPr>
        <w:rPr>
          <w:rFonts w:ascii="Arial" w:eastAsia="Calibri" w:hAnsi="Arial" w:cs="Arial"/>
          <w:color w:val="auto"/>
          <w:sz w:val="24"/>
          <w:szCs w:val="24"/>
        </w:rPr>
      </w:pPr>
    </w:p>
    <w:p w:rsidR="00670492" w:rsidRDefault="00670492">
      <w:pPr>
        <w:spacing w:after="0"/>
        <w:jc w:val="center"/>
        <w:rPr>
          <w:rFonts w:ascii="Arial" w:eastAsia="Arial" w:hAnsi="Arial" w:cs="Arial"/>
          <w:color w:val="000000"/>
        </w:rPr>
      </w:pPr>
    </w:p>
    <w:p w:rsidR="00670492" w:rsidRPr="0023607D" w:rsidRDefault="001429DF">
      <w:pPr>
        <w:spacing w:after="0"/>
        <w:jc w:val="center"/>
        <w:rPr>
          <w:rFonts w:ascii="Arial" w:eastAsia="Arial" w:hAnsi="Arial" w:cs="Arial"/>
          <w:color w:val="auto"/>
          <w:sz w:val="24"/>
          <w:szCs w:val="24"/>
        </w:rPr>
      </w:pPr>
      <w:r w:rsidRPr="0023607D">
        <w:rPr>
          <w:rFonts w:ascii="Arial" w:eastAsia="Arial" w:hAnsi="Arial" w:cs="Arial"/>
          <w:color w:val="auto"/>
          <w:sz w:val="24"/>
          <w:szCs w:val="24"/>
        </w:rPr>
        <w:t>Total Placer County Population 386,166 (2017)</w:t>
      </w:r>
    </w:p>
    <w:tbl>
      <w:tblPr>
        <w:tblStyle w:val="a2"/>
        <w:tblW w:w="70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2325"/>
      </w:tblGrid>
      <w:tr w:rsidR="00670492">
        <w:trPr>
          <w:jc w:val="center"/>
        </w:trPr>
        <w:tc>
          <w:tcPr>
            <w:tcW w:w="4680"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High School Graduate</w:t>
            </w:r>
          </w:p>
        </w:tc>
        <w:tc>
          <w:tcPr>
            <w:tcW w:w="2325"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 xml:space="preserve">94.5% </w:t>
            </w:r>
          </w:p>
        </w:tc>
      </w:tr>
      <w:tr w:rsidR="00670492">
        <w:trPr>
          <w:jc w:val="center"/>
        </w:trPr>
        <w:tc>
          <w:tcPr>
            <w:tcW w:w="4680"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Non High School Graduate</w:t>
            </w:r>
          </w:p>
        </w:tc>
        <w:tc>
          <w:tcPr>
            <w:tcW w:w="2325"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5.5%</w:t>
            </w:r>
          </w:p>
        </w:tc>
      </w:tr>
      <w:tr w:rsidR="00670492">
        <w:trPr>
          <w:jc w:val="center"/>
        </w:trPr>
        <w:tc>
          <w:tcPr>
            <w:tcW w:w="4680"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Lacking Basic Literacy Skills</w:t>
            </w:r>
          </w:p>
        </w:tc>
        <w:tc>
          <w:tcPr>
            <w:tcW w:w="2325"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 xml:space="preserve">7% </w:t>
            </w:r>
          </w:p>
        </w:tc>
      </w:tr>
      <w:tr w:rsidR="00670492">
        <w:trPr>
          <w:jc w:val="center"/>
        </w:trPr>
        <w:tc>
          <w:tcPr>
            <w:tcW w:w="4680"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Bachelor's Degree</w:t>
            </w:r>
          </w:p>
        </w:tc>
        <w:tc>
          <w:tcPr>
            <w:tcW w:w="2325"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 xml:space="preserve">37% </w:t>
            </w:r>
          </w:p>
        </w:tc>
      </w:tr>
      <w:tr w:rsidR="00670492">
        <w:trPr>
          <w:jc w:val="center"/>
        </w:trPr>
        <w:tc>
          <w:tcPr>
            <w:tcW w:w="4680"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 xml:space="preserve">Foreign Born </w:t>
            </w:r>
          </w:p>
        </w:tc>
        <w:tc>
          <w:tcPr>
            <w:tcW w:w="2325"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10%</w:t>
            </w:r>
          </w:p>
        </w:tc>
      </w:tr>
      <w:tr w:rsidR="00670492">
        <w:trPr>
          <w:jc w:val="center"/>
        </w:trPr>
        <w:tc>
          <w:tcPr>
            <w:tcW w:w="4680"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Other than English at Home</w:t>
            </w:r>
          </w:p>
        </w:tc>
        <w:tc>
          <w:tcPr>
            <w:tcW w:w="2325"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14%</w:t>
            </w:r>
          </w:p>
        </w:tc>
      </w:tr>
      <w:tr w:rsidR="00670492">
        <w:trPr>
          <w:jc w:val="center"/>
        </w:trPr>
        <w:tc>
          <w:tcPr>
            <w:tcW w:w="4680"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Below the Poverty Level</w:t>
            </w:r>
          </w:p>
        </w:tc>
        <w:tc>
          <w:tcPr>
            <w:tcW w:w="2325"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 xml:space="preserve">8.2% </w:t>
            </w:r>
          </w:p>
        </w:tc>
      </w:tr>
      <w:tr w:rsidR="00670492">
        <w:trPr>
          <w:jc w:val="center"/>
        </w:trPr>
        <w:tc>
          <w:tcPr>
            <w:tcW w:w="4680"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Median Income</w:t>
            </w:r>
          </w:p>
        </w:tc>
        <w:tc>
          <w:tcPr>
            <w:tcW w:w="2325"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$80,488</w:t>
            </w:r>
          </w:p>
        </w:tc>
      </w:tr>
      <w:tr w:rsidR="00670492">
        <w:trPr>
          <w:jc w:val="center"/>
        </w:trPr>
        <w:tc>
          <w:tcPr>
            <w:tcW w:w="4680"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Per Capita Income</w:t>
            </w:r>
          </w:p>
        </w:tc>
        <w:tc>
          <w:tcPr>
            <w:tcW w:w="2325"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$39,734</w:t>
            </w:r>
          </w:p>
        </w:tc>
      </w:tr>
      <w:tr w:rsidR="00670492">
        <w:trPr>
          <w:jc w:val="center"/>
        </w:trPr>
        <w:tc>
          <w:tcPr>
            <w:tcW w:w="4680"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Average Home Price</w:t>
            </w:r>
          </w:p>
        </w:tc>
        <w:tc>
          <w:tcPr>
            <w:tcW w:w="2325"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$413,300</w:t>
            </w:r>
          </w:p>
        </w:tc>
      </w:tr>
      <w:tr w:rsidR="00670492">
        <w:trPr>
          <w:jc w:val="center"/>
        </w:trPr>
        <w:tc>
          <w:tcPr>
            <w:tcW w:w="4680"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Median Rental Cost</w:t>
            </w:r>
          </w:p>
        </w:tc>
        <w:tc>
          <w:tcPr>
            <w:tcW w:w="2325"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$1,398.00</w:t>
            </w:r>
          </w:p>
        </w:tc>
      </w:tr>
    </w:tbl>
    <w:p w:rsidR="00670492" w:rsidRPr="0023607D" w:rsidRDefault="001429DF">
      <w:pPr>
        <w:spacing w:after="0"/>
        <w:rPr>
          <w:rFonts w:ascii="Calibri" w:eastAsia="Calibri" w:hAnsi="Calibri" w:cs="Calibri"/>
          <w:color w:val="auto"/>
          <w:sz w:val="24"/>
          <w:szCs w:val="24"/>
        </w:rPr>
      </w:pPr>
      <w:r>
        <w:rPr>
          <w:rFonts w:ascii="Calibri" w:eastAsia="Calibri" w:hAnsi="Calibri" w:cs="Calibri"/>
          <w:color w:val="04326C"/>
          <w:sz w:val="24"/>
          <w:szCs w:val="24"/>
        </w:rPr>
        <w:t xml:space="preserve">                    </w:t>
      </w:r>
      <w:r w:rsidR="006F5BAC">
        <w:rPr>
          <w:rFonts w:ascii="Calibri" w:eastAsia="Calibri" w:hAnsi="Calibri" w:cs="Calibri"/>
          <w:color w:val="04326C"/>
          <w:sz w:val="24"/>
          <w:szCs w:val="24"/>
        </w:rPr>
        <w:t xml:space="preserve">     </w:t>
      </w:r>
      <w:r>
        <w:rPr>
          <w:rFonts w:ascii="Calibri" w:eastAsia="Calibri" w:hAnsi="Calibri" w:cs="Calibri"/>
          <w:color w:val="04326C"/>
          <w:sz w:val="24"/>
          <w:szCs w:val="24"/>
        </w:rPr>
        <w:t xml:space="preserve"> </w:t>
      </w:r>
      <w:hyperlink r:id="rId17">
        <w:r w:rsidRPr="0023607D">
          <w:rPr>
            <w:rFonts w:ascii="Calibri" w:eastAsia="Calibri" w:hAnsi="Calibri" w:cs="Calibri"/>
            <w:color w:val="auto"/>
            <w:sz w:val="24"/>
            <w:szCs w:val="24"/>
            <w:u w:val="single"/>
          </w:rPr>
          <w:t>https://www.census.gov/programs-surveys/acs/</w:t>
        </w:r>
      </w:hyperlink>
    </w:p>
    <w:p w:rsidR="00670492" w:rsidRPr="0023607D" w:rsidRDefault="001429DF">
      <w:pPr>
        <w:spacing w:after="0"/>
        <w:rPr>
          <w:rFonts w:ascii="Calibri" w:eastAsia="Calibri" w:hAnsi="Calibri" w:cs="Calibri"/>
          <w:color w:val="auto"/>
          <w:sz w:val="24"/>
          <w:szCs w:val="24"/>
        </w:rPr>
      </w:pPr>
      <w:r w:rsidRPr="0023607D">
        <w:rPr>
          <w:rFonts w:ascii="Calibri" w:eastAsia="Calibri" w:hAnsi="Calibri" w:cs="Calibri"/>
          <w:color w:val="auto"/>
          <w:sz w:val="24"/>
          <w:szCs w:val="24"/>
        </w:rPr>
        <w:t xml:space="preserve">                  </w:t>
      </w:r>
      <w:r w:rsidR="006F5BAC">
        <w:rPr>
          <w:rFonts w:ascii="Calibri" w:eastAsia="Calibri" w:hAnsi="Calibri" w:cs="Calibri"/>
          <w:color w:val="auto"/>
          <w:sz w:val="24"/>
          <w:szCs w:val="24"/>
        </w:rPr>
        <w:t xml:space="preserve">       </w:t>
      </w:r>
      <w:r w:rsidRPr="0023607D">
        <w:rPr>
          <w:rFonts w:ascii="Calibri" w:eastAsia="Calibri" w:hAnsi="Calibri" w:cs="Calibri"/>
          <w:color w:val="auto"/>
          <w:sz w:val="24"/>
          <w:szCs w:val="24"/>
        </w:rPr>
        <w:t xml:space="preserve"> *https://nces.ed.gov/naal/estimates/</w:t>
      </w:r>
    </w:p>
    <w:p w:rsidR="00670492" w:rsidRDefault="00670492">
      <w:pPr>
        <w:rPr>
          <w:rFonts w:ascii="Arial" w:eastAsia="Arial" w:hAnsi="Arial" w:cs="Arial"/>
          <w:b/>
          <w:color w:val="383F51"/>
        </w:rPr>
      </w:pPr>
    </w:p>
    <w:p w:rsidR="00670492" w:rsidRPr="0023607D" w:rsidRDefault="001429DF">
      <w:pPr>
        <w:spacing w:after="0"/>
        <w:jc w:val="center"/>
        <w:rPr>
          <w:rFonts w:ascii="Arial" w:eastAsia="Arial" w:hAnsi="Arial" w:cs="Arial"/>
          <w:color w:val="auto"/>
          <w:sz w:val="24"/>
          <w:szCs w:val="24"/>
        </w:rPr>
      </w:pPr>
      <w:r w:rsidRPr="0023607D">
        <w:rPr>
          <w:rFonts w:ascii="Arial" w:eastAsia="Arial" w:hAnsi="Arial" w:cs="Arial"/>
          <w:color w:val="auto"/>
          <w:sz w:val="24"/>
          <w:szCs w:val="24"/>
        </w:rPr>
        <w:t>Nevada County Population 98,515 (2017)</w:t>
      </w:r>
    </w:p>
    <w:tbl>
      <w:tblPr>
        <w:tblStyle w:val="a3"/>
        <w:tblW w:w="70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2325"/>
      </w:tblGrid>
      <w:tr w:rsidR="00670492">
        <w:trPr>
          <w:jc w:val="center"/>
        </w:trPr>
        <w:tc>
          <w:tcPr>
            <w:tcW w:w="4680"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High School Graduate</w:t>
            </w:r>
          </w:p>
        </w:tc>
        <w:tc>
          <w:tcPr>
            <w:tcW w:w="2325"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 xml:space="preserve">93.5% </w:t>
            </w:r>
          </w:p>
        </w:tc>
      </w:tr>
      <w:tr w:rsidR="00670492">
        <w:trPr>
          <w:jc w:val="center"/>
        </w:trPr>
        <w:tc>
          <w:tcPr>
            <w:tcW w:w="4680"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Non High School Graduate</w:t>
            </w:r>
          </w:p>
        </w:tc>
        <w:tc>
          <w:tcPr>
            <w:tcW w:w="2325"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 xml:space="preserve">7.5% </w:t>
            </w:r>
          </w:p>
        </w:tc>
      </w:tr>
      <w:tr w:rsidR="00670492">
        <w:trPr>
          <w:jc w:val="center"/>
        </w:trPr>
        <w:tc>
          <w:tcPr>
            <w:tcW w:w="4680"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Lacking Basic Literacy Skills</w:t>
            </w:r>
          </w:p>
        </w:tc>
        <w:tc>
          <w:tcPr>
            <w:tcW w:w="2325"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 xml:space="preserve">1.3% </w:t>
            </w:r>
          </w:p>
        </w:tc>
      </w:tr>
      <w:tr w:rsidR="00670492">
        <w:trPr>
          <w:jc w:val="center"/>
        </w:trPr>
        <w:tc>
          <w:tcPr>
            <w:tcW w:w="4680"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Bachelor's Degree</w:t>
            </w:r>
          </w:p>
        </w:tc>
        <w:tc>
          <w:tcPr>
            <w:tcW w:w="2325"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 xml:space="preserve">35.3% </w:t>
            </w:r>
          </w:p>
        </w:tc>
      </w:tr>
      <w:tr w:rsidR="00670492">
        <w:trPr>
          <w:jc w:val="center"/>
        </w:trPr>
        <w:tc>
          <w:tcPr>
            <w:tcW w:w="4680"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 xml:space="preserve">Foreign Born </w:t>
            </w:r>
          </w:p>
        </w:tc>
        <w:tc>
          <w:tcPr>
            <w:tcW w:w="2325"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6%</w:t>
            </w:r>
          </w:p>
        </w:tc>
      </w:tr>
      <w:tr w:rsidR="00670492">
        <w:trPr>
          <w:jc w:val="center"/>
        </w:trPr>
        <w:tc>
          <w:tcPr>
            <w:tcW w:w="4680"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Other than English at Home</w:t>
            </w:r>
          </w:p>
        </w:tc>
        <w:tc>
          <w:tcPr>
            <w:tcW w:w="2325"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14%</w:t>
            </w:r>
          </w:p>
        </w:tc>
      </w:tr>
      <w:tr w:rsidR="00670492">
        <w:trPr>
          <w:jc w:val="center"/>
        </w:trPr>
        <w:tc>
          <w:tcPr>
            <w:tcW w:w="4680"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Below the Poverty Level</w:t>
            </w:r>
          </w:p>
        </w:tc>
        <w:tc>
          <w:tcPr>
            <w:tcW w:w="2325"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 xml:space="preserve">14.4% </w:t>
            </w:r>
          </w:p>
        </w:tc>
      </w:tr>
      <w:tr w:rsidR="00670492">
        <w:trPr>
          <w:jc w:val="center"/>
        </w:trPr>
        <w:tc>
          <w:tcPr>
            <w:tcW w:w="4680"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Median Income</w:t>
            </w:r>
          </w:p>
        </w:tc>
        <w:tc>
          <w:tcPr>
            <w:tcW w:w="2325"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$60,610</w:t>
            </w:r>
          </w:p>
        </w:tc>
      </w:tr>
      <w:tr w:rsidR="00670492">
        <w:trPr>
          <w:jc w:val="center"/>
        </w:trPr>
        <w:tc>
          <w:tcPr>
            <w:tcW w:w="4680"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Per Capita Income</w:t>
            </w:r>
          </w:p>
        </w:tc>
        <w:tc>
          <w:tcPr>
            <w:tcW w:w="2325"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$35,558</w:t>
            </w:r>
          </w:p>
        </w:tc>
      </w:tr>
      <w:tr w:rsidR="00670492">
        <w:trPr>
          <w:jc w:val="center"/>
        </w:trPr>
        <w:tc>
          <w:tcPr>
            <w:tcW w:w="4680"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Average Home Price</w:t>
            </w:r>
          </w:p>
        </w:tc>
        <w:tc>
          <w:tcPr>
            <w:tcW w:w="2325"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$379,800</w:t>
            </w:r>
          </w:p>
        </w:tc>
      </w:tr>
      <w:tr w:rsidR="00670492">
        <w:trPr>
          <w:jc w:val="center"/>
        </w:trPr>
        <w:tc>
          <w:tcPr>
            <w:tcW w:w="4680"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Median Rental Cost</w:t>
            </w:r>
          </w:p>
        </w:tc>
        <w:tc>
          <w:tcPr>
            <w:tcW w:w="2325" w:type="dxa"/>
            <w:shd w:val="clear" w:color="auto" w:fill="auto"/>
            <w:tcMar>
              <w:top w:w="100" w:type="dxa"/>
              <w:left w:w="100" w:type="dxa"/>
              <w:bottom w:w="100" w:type="dxa"/>
              <w:right w:w="100" w:type="dxa"/>
            </w:tcMar>
          </w:tcPr>
          <w:p w:rsidR="00670492" w:rsidRDefault="001429DF">
            <w:pPr>
              <w:widowControl w:val="0"/>
              <w:spacing w:after="0" w:line="240" w:lineRule="auto"/>
              <w:rPr>
                <w:rFonts w:ascii="Arial" w:eastAsia="Arial" w:hAnsi="Arial" w:cs="Arial"/>
                <w:color w:val="000000"/>
              </w:rPr>
            </w:pPr>
            <w:r>
              <w:rPr>
                <w:rFonts w:ascii="Arial" w:eastAsia="Arial" w:hAnsi="Arial" w:cs="Arial"/>
                <w:color w:val="000000"/>
              </w:rPr>
              <w:t>$1,217.00</w:t>
            </w:r>
          </w:p>
        </w:tc>
      </w:tr>
    </w:tbl>
    <w:p w:rsidR="00670492" w:rsidRDefault="00670492">
      <w:pPr>
        <w:spacing w:after="0"/>
        <w:rPr>
          <w:rFonts w:ascii="Arial" w:eastAsia="Arial" w:hAnsi="Arial" w:cs="Arial"/>
          <w:b/>
          <w:color w:val="383F51"/>
        </w:rPr>
      </w:pPr>
    </w:p>
    <w:p w:rsidR="0023607D" w:rsidRDefault="0023607D">
      <w:pPr>
        <w:spacing w:after="0"/>
        <w:rPr>
          <w:rFonts w:ascii="Arial" w:eastAsia="Arial" w:hAnsi="Arial" w:cs="Arial"/>
          <w:b/>
          <w:color w:val="383F51"/>
        </w:rPr>
      </w:pPr>
    </w:p>
    <w:p w:rsidR="00670492" w:rsidRPr="00521425" w:rsidRDefault="001429DF">
      <w:pPr>
        <w:widowControl w:val="0"/>
        <w:spacing w:before="180" w:after="0"/>
        <w:rPr>
          <w:rFonts w:ascii="Arial" w:eastAsia="Calibri" w:hAnsi="Arial" w:cs="Arial"/>
          <w:b/>
          <w:color w:val="auto"/>
          <w:sz w:val="24"/>
          <w:szCs w:val="24"/>
        </w:rPr>
      </w:pPr>
      <w:r w:rsidRPr="00521425">
        <w:rPr>
          <w:rFonts w:ascii="Arial" w:eastAsia="Calibri" w:hAnsi="Arial" w:cs="Arial"/>
          <w:b/>
          <w:color w:val="auto"/>
          <w:sz w:val="24"/>
          <w:szCs w:val="24"/>
        </w:rPr>
        <w:t>Regional Industry Sector Priorities:</w:t>
      </w:r>
    </w:p>
    <w:p w:rsidR="00670492" w:rsidRPr="00521425" w:rsidRDefault="001429DF">
      <w:pPr>
        <w:widowControl w:val="0"/>
        <w:spacing w:before="180" w:after="0"/>
        <w:rPr>
          <w:rFonts w:ascii="Arial" w:eastAsia="Calibri" w:hAnsi="Arial" w:cs="Arial"/>
          <w:i/>
          <w:color w:val="auto"/>
          <w:sz w:val="24"/>
          <w:szCs w:val="24"/>
        </w:rPr>
      </w:pPr>
      <w:r w:rsidRPr="00521425">
        <w:rPr>
          <w:rFonts w:ascii="Arial" w:eastAsia="Calibri" w:hAnsi="Arial" w:cs="Arial"/>
          <w:b/>
          <w:color w:val="auto"/>
          <w:sz w:val="24"/>
          <w:szCs w:val="24"/>
        </w:rPr>
        <w:t xml:space="preserve">Health Care </w:t>
      </w:r>
    </w:p>
    <w:p w:rsidR="00670492" w:rsidRPr="00521425" w:rsidRDefault="001429DF">
      <w:pPr>
        <w:pBdr>
          <w:top w:val="nil"/>
          <w:left w:val="nil"/>
          <w:bottom w:val="nil"/>
          <w:right w:val="nil"/>
          <w:between w:val="nil"/>
        </w:pBdr>
        <w:spacing w:after="0" w:line="240" w:lineRule="auto"/>
        <w:rPr>
          <w:rFonts w:ascii="Arial" w:eastAsia="Calibri" w:hAnsi="Arial" w:cs="Arial"/>
          <w:color w:val="auto"/>
          <w:sz w:val="24"/>
          <w:szCs w:val="24"/>
        </w:rPr>
      </w:pPr>
      <w:bookmarkStart w:id="40" w:name="_g1w3zjh0i6yv" w:colFirst="0" w:colLast="0"/>
      <w:bookmarkEnd w:id="40"/>
      <w:r w:rsidRPr="00521425">
        <w:rPr>
          <w:rFonts w:ascii="Arial" w:eastAsia="Calibri" w:hAnsi="Arial" w:cs="Arial"/>
          <w:color w:val="auto"/>
          <w:sz w:val="24"/>
          <w:szCs w:val="24"/>
        </w:rPr>
        <w:t xml:space="preserve">Health Care is the second largest employment sector within the county and added the greatest </w:t>
      </w:r>
      <w:bookmarkStart w:id="41" w:name="_bbk3hkexz2vw" w:colFirst="0" w:colLast="0"/>
      <w:bookmarkEnd w:id="41"/>
      <w:r w:rsidRPr="00521425">
        <w:rPr>
          <w:rFonts w:ascii="Arial" w:eastAsia="Calibri" w:hAnsi="Arial" w:cs="Arial"/>
          <w:color w:val="auto"/>
          <w:sz w:val="24"/>
          <w:szCs w:val="24"/>
        </w:rPr>
        <w:t xml:space="preserve">number of jobs since 2010. Growth is projected to continue through 2020. Of the top ten high </w:t>
      </w:r>
      <w:bookmarkStart w:id="42" w:name="_yrcoh27rwyul" w:colFirst="0" w:colLast="0"/>
      <w:bookmarkEnd w:id="42"/>
      <w:r w:rsidRPr="00521425">
        <w:rPr>
          <w:rFonts w:ascii="Arial" w:eastAsia="Calibri" w:hAnsi="Arial" w:cs="Arial"/>
          <w:color w:val="auto"/>
          <w:sz w:val="24"/>
          <w:szCs w:val="24"/>
        </w:rPr>
        <w:t xml:space="preserve">demand occupations within the county, four are within the Health Care sector. These trends </w:t>
      </w:r>
      <w:bookmarkStart w:id="43" w:name="_8qaruxyrq696" w:colFirst="0" w:colLast="0"/>
      <w:bookmarkEnd w:id="43"/>
      <w:r w:rsidRPr="00521425">
        <w:rPr>
          <w:rFonts w:ascii="Arial" w:eastAsia="Calibri" w:hAnsi="Arial" w:cs="Arial"/>
          <w:color w:val="auto"/>
          <w:sz w:val="24"/>
          <w:szCs w:val="24"/>
        </w:rPr>
        <w:t xml:space="preserve">indicate that this should be a priority sector for the counties. </w:t>
      </w:r>
    </w:p>
    <w:p w:rsidR="00670492" w:rsidRPr="00521425" w:rsidRDefault="00670492">
      <w:pPr>
        <w:pBdr>
          <w:top w:val="nil"/>
          <w:left w:val="nil"/>
          <w:bottom w:val="nil"/>
          <w:right w:val="nil"/>
          <w:between w:val="nil"/>
        </w:pBdr>
        <w:spacing w:after="0" w:line="240" w:lineRule="auto"/>
        <w:rPr>
          <w:rFonts w:ascii="Arial" w:eastAsia="Calibri" w:hAnsi="Arial" w:cs="Arial"/>
          <w:color w:val="auto"/>
          <w:sz w:val="24"/>
          <w:szCs w:val="24"/>
        </w:rPr>
      </w:pPr>
      <w:bookmarkStart w:id="44" w:name="_8qfc94mw9awh" w:colFirst="0" w:colLast="0"/>
      <w:bookmarkEnd w:id="44"/>
    </w:p>
    <w:p w:rsidR="00670492" w:rsidRPr="00521425" w:rsidRDefault="001429DF">
      <w:pPr>
        <w:pBdr>
          <w:top w:val="nil"/>
          <w:left w:val="nil"/>
          <w:bottom w:val="nil"/>
          <w:right w:val="nil"/>
          <w:between w:val="nil"/>
        </w:pBdr>
        <w:spacing w:after="0" w:line="240" w:lineRule="auto"/>
        <w:rPr>
          <w:rFonts w:ascii="Arial" w:eastAsia="Calibri" w:hAnsi="Arial" w:cs="Arial"/>
          <w:color w:val="auto"/>
          <w:sz w:val="24"/>
          <w:szCs w:val="24"/>
        </w:rPr>
      </w:pPr>
      <w:bookmarkStart w:id="45" w:name="_fna75k7xf5i" w:colFirst="0" w:colLast="0"/>
      <w:bookmarkEnd w:id="45"/>
      <w:r w:rsidRPr="00521425">
        <w:rPr>
          <w:rFonts w:ascii="Arial" w:eastAsia="Calibri" w:hAnsi="Arial" w:cs="Arial"/>
          <w:color w:val="auto"/>
          <w:sz w:val="24"/>
          <w:szCs w:val="24"/>
        </w:rPr>
        <w:t xml:space="preserve">Key occupations within Health Care include: Registered Nurses; Nursing, Psychiatric, and Home </w:t>
      </w:r>
      <w:bookmarkStart w:id="46" w:name="_b2iu6dbfsoqj" w:colFirst="0" w:colLast="0"/>
      <w:bookmarkEnd w:id="46"/>
      <w:r w:rsidRPr="00521425">
        <w:rPr>
          <w:rFonts w:ascii="Arial" w:eastAsia="Calibri" w:hAnsi="Arial" w:cs="Arial"/>
          <w:color w:val="auto"/>
          <w:sz w:val="24"/>
          <w:szCs w:val="24"/>
        </w:rPr>
        <w:t xml:space="preserve">Health Aides; Miscellaneous Healthcare Support Occupations; and Personal Care Aides. Of these, Nursing, Psychiatric, and Nursing Assistants, Home Health Aides and Personal Care Aides are projected to have the greatest number of jobs through 2020. Registered Nurses, which is one of the largest occupational groups, pays one of the highest wages, with a median hourly wage of $38.19/hr. </w:t>
      </w:r>
    </w:p>
    <w:p w:rsidR="00670492" w:rsidRPr="00521425" w:rsidRDefault="00670492">
      <w:pPr>
        <w:pBdr>
          <w:top w:val="nil"/>
          <w:left w:val="nil"/>
          <w:bottom w:val="nil"/>
          <w:right w:val="nil"/>
          <w:between w:val="nil"/>
        </w:pBdr>
        <w:spacing w:line="240" w:lineRule="auto"/>
        <w:rPr>
          <w:rFonts w:ascii="Arial" w:eastAsia="Calibri" w:hAnsi="Arial" w:cs="Arial"/>
          <w:b/>
          <w:color w:val="auto"/>
          <w:sz w:val="24"/>
          <w:szCs w:val="24"/>
        </w:rPr>
      </w:pPr>
      <w:bookmarkStart w:id="47" w:name="_1n1lkrkw5p5l" w:colFirst="0" w:colLast="0"/>
      <w:bookmarkEnd w:id="47"/>
    </w:p>
    <w:p w:rsidR="00670492" w:rsidRPr="00521425" w:rsidRDefault="001429DF">
      <w:pPr>
        <w:pBdr>
          <w:top w:val="nil"/>
          <w:left w:val="nil"/>
          <w:bottom w:val="nil"/>
          <w:right w:val="nil"/>
          <w:between w:val="nil"/>
        </w:pBdr>
        <w:spacing w:line="240" w:lineRule="auto"/>
        <w:rPr>
          <w:rFonts w:ascii="Arial" w:eastAsia="Calibri" w:hAnsi="Arial" w:cs="Arial"/>
          <w:color w:val="auto"/>
          <w:sz w:val="24"/>
          <w:szCs w:val="24"/>
        </w:rPr>
      </w:pPr>
      <w:bookmarkStart w:id="48" w:name="_qoc1zpfw9ned" w:colFirst="0" w:colLast="0"/>
      <w:bookmarkEnd w:id="48"/>
      <w:r w:rsidRPr="00521425">
        <w:rPr>
          <w:rFonts w:ascii="Arial" w:eastAsia="Calibri" w:hAnsi="Arial" w:cs="Arial"/>
          <w:b/>
          <w:color w:val="auto"/>
          <w:sz w:val="24"/>
          <w:szCs w:val="24"/>
        </w:rPr>
        <w:t xml:space="preserve">Construction &amp; Manufacturing </w:t>
      </w:r>
    </w:p>
    <w:p w:rsidR="00670492" w:rsidRPr="00521425" w:rsidRDefault="001429DF">
      <w:pPr>
        <w:pBdr>
          <w:top w:val="nil"/>
          <w:left w:val="nil"/>
          <w:bottom w:val="nil"/>
          <w:right w:val="nil"/>
          <w:between w:val="nil"/>
        </w:pBdr>
        <w:spacing w:after="0" w:line="240" w:lineRule="auto"/>
        <w:rPr>
          <w:rFonts w:ascii="Arial" w:eastAsia="Calibri" w:hAnsi="Arial" w:cs="Arial"/>
          <w:color w:val="auto"/>
          <w:sz w:val="24"/>
          <w:szCs w:val="24"/>
        </w:rPr>
      </w:pPr>
      <w:bookmarkStart w:id="49" w:name="_nvhdgdca7thp" w:colFirst="0" w:colLast="0"/>
      <w:bookmarkEnd w:id="49"/>
      <w:r w:rsidRPr="00521425">
        <w:rPr>
          <w:rFonts w:ascii="Arial" w:eastAsia="Calibri" w:hAnsi="Arial" w:cs="Arial"/>
          <w:color w:val="auto"/>
          <w:sz w:val="24"/>
          <w:szCs w:val="24"/>
        </w:rPr>
        <w:t xml:space="preserve">Jobs in construction/trades continue to be a priority sector for this region.  According to the CAEP 2019 Fact Sheet, Carpenters are among the top occupations with a projected 4500 jobs needed by 2027.  For the Manufacturing sector, there are four key sub sectors that each employ over 100. </w:t>
      </w:r>
      <w:r w:rsidR="00521425" w:rsidRPr="00521425">
        <w:rPr>
          <w:rFonts w:ascii="Arial" w:eastAsia="Calibri" w:hAnsi="Arial" w:cs="Arial"/>
          <w:color w:val="auto"/>
          <w:sz w:val="24"/>
          <w:szCs w:val="24"/>
        </w:rPr>
        <w:t>They include</w:t>
      </w:r>
      <w:r w:rsidRPr="00521425">
        <w:rPr>
          <w:rFonts w:ascii="Arial" w:eastAsia="Calibri" w:hAnsi="Arial" w:cs="Arial"/>
          <w:color w:val="auto"/>
          <w:sz w:val="24"/>
          <w:szCs w:val="24"/>
        </w:rPr>
        <w:t xml:space="preserve">: Communications Equipment Manufacturing; Navigational, Measuring, </w:t>
      </w:r>
      <w:proofErr w:type="spellStart"/>
      <w:r w:rsidRPr="00521425">
        <w:rPr>
          <w:rFonts w:ascii="Arial" w:eastAsia="Calibri" w:hAnsi="Arial" w:cs="Arial"/>
          <w:color w:val="auto"/>
          <w:sz w:val="24"/>
          <w:szCs w:val="24"/>
        </w:rPr>
        <w:t>Electromedical</w:t>
      </w:r>
      <w:proofErr w:type="spellEnd"/>
      <w:r w:rsidRPr="00521425">
        <w:rPr>
          <w:rFonts w:ascii="Arial" w:eastAsia="Calibri" w:hAnsi="Arial" w:cs="Arial"/>
          <w:color w:val="auto"/>
          <w:sz w:val="24"/>
          <w:szCs w:val="24"/>
        </w:rPr>
        <w:t xml:space="preserve">, and Control Instruments Manufacturing; Miscellaneous Manufacturing; and Beverage Manufacturing. However, the two largest sectors, Communications Equipment and Navigational, etc. are projected to decline in employment through 2020. Sub Sectors projected to grow include Beverage Manufacturing; Bakeries and Tortilla Manufacturing; and Motor Vehicle Parts Manufacturing.  </w:t>
      </w:r>
    </w:p>
    <w:p w:rsidR="00670492" w:rsidRPr="00521425" w:rsidRDefault="00670492">
      <w:pPr>
        <w:pBdr>
          <w:top w:val="nil"/>
          <w:left w:val="nil"/>
          <w:bottom w:val="nil"/>
          <w:right w:val="nil"/>
          <w:between w:val="nil"/>
        </w:pBdr>
        <w:spacing w:after="0" w:line="240" w:lineRule="auto"/>
        <w:rPr>
          <w:rFonts w:ascii="Arial" w:eastAsia="Calibri" w:hAnsi="Arial" w:cs="Arial"/>
          <w:color w:val="auto"/>
          <w:sz w:val="24"/>
          <w:szCs w:val="24"/>
        </w:rPr>
      </w:pPr>
      <w:bookmarkStart w:id="50" w:name="_3oa0gal6rel4" w:colFirst="0" w:colLast="0"/>
      <w:bookmarkEnd w:id="50"/>
    </w:p>
    <w:p w:rsidR="00670492" w:rsidRPr="00521425" w:rsidRDefault="001429DF">
      <w:pPr>
        <w:pBdr>
          <w:top w:val="nil"/>
          <w:left w:val="nil"/>
          <w:bottom w:val="nil"/>
          <w:right w:val="nil"/>
          <w:between w:val="nil"/>
        </w:pBdr>
        <w:spacing w:line="240" w:lineRule="auto"/>
        <w:rPr>
          <w:rFonts w:ascii="Arial" w:eastAsia="Calibri" w:hAnsi="Arial" w:cs="Arial"/>
          <w:b/>
          <w:color w:val="auto"/>
          <w:sz w:val="24"/>
          <w:szCs w:val="24"/>
          <w:highlight w:val="yellow"/>
        </w:rPr>
      </w:pPr>
      <w:bookmarkStart w:id="51" w:name="_tde9245c6qbd" w:colFirst="0" w:colLast="0"/>
      <w:bookmarkEnd w:id="51"/>
      <w:r w:rsidRPr="00521425">
        <w:rPr>
          <w:rFonts w:ascii="Arial" w:eastAsia="Calibri" w:hAnsi="Arial" w:cs="Arial"/>
          <w:b/>
          <w:color w:val="auto"/>
          <w:sz w:val="24"/>
          <w:szCs w:val="24"/>
        </w:rPr>
        <w:t xml:space="preserve">Administrative Support </w:t>
      </w:r>
    </w:p>
    <w:p w:rsidR="00670492" w:rsidRPr="00521425" w:rsidRDefault="001429DF">
      <w:pPr>
        <w:pBdr>
          <w:top w:val="nil"/>
          <w:left w:val="nil"/>
          <w:bottom w:val="nil"/>
          <w:right w:val="nil"/>
          <w:between w:val="nil"/>
        </w:pBdr>
        <w:spacing w:line="240" w:lineRule="auto"/>
        <w:rPr>
          <w:rFonts w:ascii="Arial" w:eastAsia="Calibri" w:hAnsi="Arial" w:cs="Arial"/>
          <w:color w:val="auto"/>
          <w:sz w:val="24"/>
          <w:szCs w:val="24"/>
        </w:rPr>
      </w:pPr>
      <w:bookmarkStart w:id="52" w:name="_napa66munno2" w:colFirst="0" w:colLast="0"/>
      <w:bookmarkEnd w:id="52"/>
      <w:r w:rsidRPr="00521425">
        <w:rPr>
          <w:rFonts w:ascii="Arial" w:eastAsia="Calibri" w:hAnsi="Arial" w:cs="Arial"/>
          <w:color w:val="auto"/>
          <w:sz w:val="24"/>
          <w:szCs w:val="24"/>
          <w:highlight w:val="white"/>
        </w:rPr>
        <w:t xml:space="preserve">Administrative support jobs are listed among the occupations with the most job openings in the next decade in our region.  According to the CAEP 2019 Fact Sheet, Office/Administrative jobs are projected to grow to 36,033 by 2027. Administrative skills are needed for a variety of these jobs, ranging from office assistants to secretaries to office managers. Employees in nearly every industry and company also need strong administrative skills.  In the greater Placer county region, we are experiencing growth of businesses and professional offices such as law offices, accounting firms, medical and dental offices, etc. The need for highly trained office support staff will be one of the top four areas of job growth. </w:t>
      </w:r>
    </w:p>
    <w:p w:rsidR="00670492" w:rsidRPr="00521425" w:rsidRDefault="001429DF">
      <w:pPr>
        <w:widowControl w:val="0"/>
        <w:spacing w:before="180" w:after="0" w:line="240" w:lineRule="auto"/>
        <w:rPr>
          <w:rFonts w:ascii="Arial" w:eastAsia="Calibri" w:hAnsi="Arial" w:cs="Arial"/>
          <w:i/>
          <w:color w:val="auto"/>
          <w:sz w:val="24"/>
          <w:szCs w:val="24"/>
          <w:highlight w:val="yellow"/>
        </w:rPr>
      </w:pPr>
      <w:r w:rsidRPr="00521425">
        <w:rPr>
          <w:rFonts w:ascii="Arial" w:eastAsia="Calibri" w:hAnsi="Arial" w:cs="Arial"/>
          <w:b/>
          <w:color w:val="auto"/>
          <w:sz w:val="24"/>
          <w:szCs w:val="24"/>
        </w:rPr>
        <w:t xml:space="preserve">Tourism </w:t>
      </w:r>
    </w:p>
    <w:p w:rsidR="00670492" w:rsidRPr="00521425" w:rsidRDefault="001429DF">
      <w:pPr>
        <w:pBdr>
          <w:top w:val="nil"/>
          <w:left w:val="nil"/>
          <w:bottom w:val="nil"/>
          <w:right w:val="nil"/>
          <w:between w:val="nil"/>
        </w:pBdr>
        <w:spacing w:after="0" w:line="240" w:lineRule="auto"/>
        <w:rPr>
          <w:rFonts w:ascii="Arial" w:eastAsia="Calibri" w:hAnsi="Arial" w:cs="Arial"/>
          <w:color w:val="auto"/>
          <w:sz w:val="24"/>
          <w:szCs w:val="24"/>
        </w:rPr>
      </w:pPr>
      <w:bookmarkStart w:id="53" w:name="_538l1y9n8zwg" w:colFirst="0" w:colLast="0"/>
      <w:bookmarkEnd w:id="53"/>
      <w:r w:rsidRPr="00521425">
        <w:rPr>
          <w:rFonts w:ascii="Arial" w:eastAsia="Calibri" w:hAnsi="Arial" w:cs="Arial"/>
          <w:color w:val="auto"/>
          <w:sz w:val="24"/>
          <w:szCs w:val="24"/>
        </w:rPr>
        <w:t xml:space="preserve">The Tourism sector falls across several business categories including Hotels and </w:t>
      </w:r>
      <w:r w:rsidR="006F5BAC" w:rsidRPr="00521425">
        <w:rPr>
          <w:rFonts w:ascii="Arial" w:eastAsia="Calibri" w:hAnsi="Arial" w:cs="Arial"/>
          <w:color w:val="auto"/>
          <w:sz w:val="24"/>
          <w:szCs w:val="24"/>
        </w:rPr>
        <w:t xml:space="preserve">Restaurants; </w:t>
      </w:r>
      <w:r w:rsidR="006F5BAC">
        <w:rPr>
          <w:rFonts w:ascii="Arial" w:eastAsia="Calibri" w:hAnsi="Arial" w:cs="Arial"/>
          <w:color w:val="auto"/>
          <w:sz w:val="24"/>
          <w:szCs w:val="24"/>
        </w:rPr>
        <w:t>Travel</w:t>
      </w:r>
      <w:r w:rsidRPr="00521425">
        <w:rPr>
          <w:rFonts w:ascii="Arial" w:eastAsia="Calibri" w:hAnsi="Arial" w:cs="Arial"/>
          <w:color w:val="auto"/>
          <w:sz w:val="24"/>
          <w:szCs w:val="24"/>
        </w:rPr>
        <w:t xml:space="preserve"> Agencies and Tour Operators; Arts, Entertainment and Recreation; and Sightseeing </w:t>
      </w:r>
      <w:bookmarkStart w:id="54" w:name="_rnruk6tlorod" w:colFirst="0" w:colLast="0"/>
      <w:bookmarkEnd w:id="54"/>
      <w:r w:rsidRPr="00521425">
        <w:rPr>
          <w:rFonts w:ascii="Arial" w:eastAsia="Calibri" w:hAnsi="Arial" w:cs="Arial"/>
          <w:color w:val="auto"/>
          <w:sz w:val="24"/>
          <w:szCs w:val="24"/>
        </w:rPr>
        <w:t xml:space="preserve">Transportation. Within the county, the largest sub sectors include </w:t>
      </w:r>
      <w:r w:rsidRPr="00521425">
        <w:rPr>
          <w:rFonts w:ascii="Arial" w:eastAsia="Calibri" w:hAnsi="Arial" w:cs="Arial"/>
          <w:color w:val="auto"/>
          <w:sz w:val="24"/>
          <w:szCs w:val="24"/>
        </w:rPr>
        <w:lastRenderedPageBreak/>
        <w:t xml:space="preserve">Restaurants and Other Eating </w:t>
      </w:r>
      <w:bookmarkStart w:id="55" w:name="_2va7givj6q73" w:colFirst="0" w:colLast="0"/>
      <w:bookmarkEnd w:id="55"/>
      <w:r w:rsidRPr="00521425">
        <w:rPr>
          <w:rFonts w:ascii="Arial" w:eastAsia="Calibri" w:hAnsi="Arial" w:cs="Arial"/>
          <w:color w:val="auto"/>
          <w:sz w:val="24"/>
          <w:szCs w:val="24"/>
        </w:rPr>
        <w:t xml:space="preserve">Places; Other Amusement and Recreation Industries; and Traveler Accommodation. All are </w:t>
      </w:r>
      <w:bookmarkStart w:id="56" w:name="_9kf66tasxh10" w:colFirst="0" w:colLast="0"/>
      <w:bookmarkEnd w:id="56"/>
      <w:r w:rsidRPr="00521425">
        <w:rPr>
          <w:rFonts w:ascii="Arial" w:eastAsia="Calibri" w:hAnsi="Arial" w:cs="Arial"/>
          <w:color w:val="auto"/>
          <w:sz w:val="24"/>
          <w:szCs w:val="24"/>
        </w:rPr>
        <w:t>projected to grow through 2020, but Food Preparation and Service represents the greatest number of jobs in our region - a projection of just over 13,000 by 2027 according to the CAEP 2019 Fact Sheet.</w:t>
      </w:r>
    </w:p>
    <w:p w:rsidR="00670492" w:rsidRPr="00521425" w:rsidRDefault="00670492">
      <w:pPr>
        <w:pBdr>
          <w:top w:val="nil"/>
          <w:left w:val="nil"/>
          <w:bottom w:val="nil"/>
          <w:right w:val="nil"/>
          <w:between w:val="nil"/>
        </w:pBdr>
        <w:spacing w:after="0" w:line="240" w:lineRule="auto"/>
        <w:rPr>
          <w:rFonts w:ascii="Arial" w:eastAsia="Calibri" w:hAnsi="Arial" w:cs="Arial"/>
          <w:color w:val="auto"/>
          <w:sz w:val="24"/>
          <w:szCs w:val="24"/>
        </w:rPr>
      </w:pPr>
      <w:bookmarkStart w:id="57" w:name="_i5z3e1g54k5t" w:colFirst="0" w:colLast="0"/>
      <w:bookmarkEnd w:id="57"/>
    </w:p>
    <w:p w:rsidR="00670492" w:rsidRPr="00521425" w:rsidRDefault="001429DF">
      <w:pPr>
        <w:pBdr>
          <w:top w:val="nil"/>
          <w:left w:val="nil"/>
          <w:bottom w:val="nil"/>
          <w:right w:val="nil"/>
          <w:between w:val="nil"/>
        </w:pBdr>
        <w:spacing w:line="240" w:lineRule="auto"/>
        <w:rPr>
          <w:rFonts w:ascii="Arial" w:eastAsia="Calibri" w:hAnsi="Arial" w:cs="Arial"/>
          <w:b/>
          <w:color w:val="auto"/>
          <w:sz w:val="24"/>
          <w:szCs w:val="24"/>
        </w:rPr>
      </w:pPr>
      <w:bookmarkStart w:id="58" w:name="_o6x4bybd43gq" w:colFirst="0" w:colLast="0"/>
      <w:bookmarkEnd w:id="58"/>
      <w:r w:rsidRPr="00521425">
        <w:rPr>
          <w:rFonts w:ascii="Arial" w:eastAsia="Calibri" w:hAnsi="Arial" w:cs="Arial"/>
          <w:b/>
          <w:color w:val="auto"/>
          <w:sz w:val="24"/>
          <w:szCs w:val="24"/>
        </w:rPr>
        <w:t>Automotive Services Technicians and Mechanics</w:t>
      </w:r>
    </w:p>
    <w:p w:rsidR="00670492" w:rsidRPr="00521425" w:rsidRDefault="001429DF">
      <w:pPr>
        <w:pBdr>
          <w:top w:val="nil"/>
          <w:left w:val="nil"/>
          <w:bottom w:val="nil"/>
          <w:right w:val="nil"/>
          <w:between w:val="nil"/>
        </w:pBdr>
        <w:spacing w:line="240" w:lineRule="auto"/>
        <w:rPr>
          <w:rFonts w:ascii="Arial" w:eastAsia="Calibri" w:hAnsi="Arial" w:cs="Arial"/>
          <w:color w:val="auto"/>
          <w:sz w:val="24"/>
          <w:szCs w:val="24"/>
        </w:rPr>
      </w:pPr>
      <w:bookmarkStart w:id="59" w:name="_8u7jzyi4iehk" w:colFirst="0" w:colLast="0"/>
      <w:bookmarkEnd w:id="59"/>
      <w:r w:rsidRPr="00521425">
        <w:rPr>
          <w:rFonts w:ascii="Arial" w:eastAsia="Calibri" w:hAnsi="Arial" w:cs="Arial"/>
          <w:color w:val="auto"/>
          <w:sz w:val="24"/>
          <w:szCs w:val="24"/>
        </w:rPr>
        <w:t>The Capital Region Planning unit for EDD has projected 1,830 new job openings by 2024 with a median income range of $43, 919.  The local high schools and community college have reduced or completely eliminated automotive programs.  The consortium is leveraging local automotive shops to provide safe training centers in state of the art facilities.</w:t>
      </w:r>
    </w:p>
    <w:p w:rsidR="00670492" w:rsidRPr="00521425" w:rsidRDefault="001429DF">
      <w:pPr>
        <w:widowControl w:val="0"/>
        <w:pBdr>
          <w:top w:val="nil"/>
          <w:left w:val="nil"/>
          <w:bottom w:val="nil"/>
          <w:right w:val="nil"/>
          <w:between w:val="nil"/>
        </w:pBdr>
        <w:spacing w:before="81" w:after="0"/>
        <w:ind w:right="873"/>
        <w:rPr>
          <w:rFonts w:ascii="Arial" w:eastAsia="Calibri" w:hAnsi="Arial" w:cs="Arial"/>
          <w:b/>
          <w:color w:val="auto"/>
          <w:sz w:val="24"/>
          <w:szCs w:val="24"/>
        </w:rPr>
      </w:pPr>
      <w:r w:rsidRPr="00521425">
        <w:rPr>
          <w:rFonts w:ascii="Arial" w:eastAsia="Calibri" w:hAnsi="Arial" w:cs="Arial"/>
          <w:b/>
          <w:color w:val="auto"/>
          <w:sz w:val="24"/>
          <w:szCs w:val="24"/>
        </w:rPr>
        <w:t xml:space="preserve">2.  Unique Customers:  </w:t>
      </w:r>
    </w:p>
    <w:p w:rsidR="00670492" w:rsidRPr="00521425" w:rsidRDefault="001429DF" w:rsidP="00B75B07">
      <w:pPr>
        <w:pBdr>
          <w:top w:val="nil"/>
          <w:left w:val="nil"/>
          <w:bottom w:val="nil"/>
          <w:right w:val="nil"/>
          <w:between w:val="nil"/>
        </w:pBdr>
        <w:spacing w:line="240" w:lineRule="auto"/>
        <w:rPr>
          <w:rFonts w:ascii="Arial" w:eastAsia="Calibri" w:hAnsi="Arial" w:cs="Arial"/>
          <w:color w:val="auto"/>
          <w:sz w:val="24"/>
          <w:szCs w:val="24"/>
        </w:rPr>
      </w:pPr>
      <w:r w:rsidRPr="00521425">
        <w:rPr>
          <w:rFonts w:ascii="Arial" w:eastAsia="Calibri" w:hAnsi="Arial" w:cs="Arial"/>
          <w:color w:val="auto"/>
          <w:sz w:val="24"/>
          <w:szCs w:val="24"/>
        </w:rPr>
        <w:t>Nevada County and Tahoe/Truckee share many of same community/customer needs and industry sector priorities described above. However, below provides more specific data on these regional partners:</w:t>
      </w:r>
    </w:p>
    <w:p w:rsidR="00670492" w:rsidRPr="00521425" w:rsidRDefault="001429DF">
      <w:pPr>
        <w:widowControl w:val="0"/>
        <w:spacing w:before="81" w:after="0"/>
        <w:ind w:left="4" w:right="873"/>
        <w:rPr>
          <w:rFonts w:ascii="Arial" w:eastAsia="Calibri" w:hAnsi="Arial" w:cs="Arial"/>
          <w:b/>
          <w:color w:val="auto"/>
          <w:sz w:val="24"/>
          <w:szCs w:val="24"/>
        </w:rPr>
      </w:pPr>
      <w:r w:rsidRPr="00521425">
        <w:rPr>
          <w:rFonts w:ascii="Arial" w:eastAsia="Calibri" w:hAnsi="Arial" w:cs="Arial"/>
          <w:b/>
          <w:color w:val="auto"/>
          <w:sz w:val="24"/>
          <w:szCs w:val="24"/>
        </w:rPr>
        <w:t xml:space="preserve">Nevada County: </w:t>
      </w:r>
    </w:p>
    <w:p w:rsidR="00670492" w:rsidRDefault="001429DF" w:rsidP="00B75B07">
      <w:pPr>
        <w:pBdr>
          <w:top w:val="nil"/>
          <w:left w:val="nil"/>
          <w:bottom w:val="nil"/>
          <w:right w:val="nil"/>
          <w:between w:val="nil"/>
        </w:pBdr>
        <w:spacing w:line="240" w:lineRule="auto"/>
        <w:rPr>
          <w:rFonts w:ascii="Arial" w:eastAsia="Calibri" w:hAnsi="Arial" w:cs="Arial"/>
          <w:color w:val="auto"/>
          <w:sz w:val="24"/>
          <w:szCs w:val="24"/>
        </w:rPr>
      </w:pPr>
      <w:r w:rsidRPr="00521425">
        <w:rPr>
          <w:rFonts w:ascii="Arial" w:eastAsia="Calibri" w:hAnsi="Arial" w:cs="Arial"/>
          <w:color w:val="auto"/>
          <w:sz w:val="24"/>
          <w:szCs w:val="24"/>
        </w:rPr>
        <w:t xml:space="preserve">Top occupations by employment within the county fall within four areas: Office and Administrative Support (4,863 employees); Sales and Related (3,686 employees); Construction and Extraction Occupations (3,551 employees); and Food Preparation and Serving Related Occupations (3,427 employees).  In 2014, Nevada County had more than 10,000 workers commuting into the county and more than 16,650 commuting out. This means that Nevada County is a net exporter of workers. However, larger than both of these categories are the number of people who both live and work in Nevada County (about 15,300). </w:t>
      </w:r>
    </w:p>
    <w:p w:rsidR="00670492" w:rsidRPr="00521425" w:rsidRDefault="001429DF" w:rsidP="00B75B07">
      <w:pPr>
        <w:pBdr>
          <w:top w:val="nil"/>
          <w:left w:val="nil"/>
          <w:bottom w:val="nil"/>
          <w:right w:val="nil"/>
          <w:between w:val="nil"/>
        </w:pBdr>
        <w:spacing w:line="240" w:lineRule="auto"/>
        <w:rPr>
          <w:rFonts w:ascii="Arial" w:eastAsia="Calibri" w:hAnsi="Arial" w:cs="Arial"/>
          <w:color w:val="auto"/>
          <w:sz w:val="24"/>
          <w:szCs w:val="24"/>
        </w:rPr>
      </w:pPr>
      <w:r w:rsidRPr="00521425">
        <w:rPr>
          <w:rFonts w:ascii="Arial" w:eastAsia="Calibri" w:hAnsi="Arial" w:cs="Arial"/>
          <w:color w:val="auto"/>
          <w:sz w:val="24"/>
          <w:szCs w:val="24"/>
        </w:rPr>
        <w:t xml:space="preserve">Placer County, CA contributes the largest number of in-commuting workers (2,476, 9.7% of the workforce), seconded by Washoe County, NV (1,305, 5.1%). The top destination counties for Nevada County out-commuting workers are Placer County, CA (4,612, 14.4% of residents), and Sacramento County, CA (2,175, 6.8%). The population of the county is predominately White (87% of the 2015 population). However, over the past ten years, the White population has decreased 2% from its 2005 level. On the other end of the spectrum, the top three fastest growing races in the county are Native Hawaiian or Pacific Islander, Asian and Black.  </w:t>
      </w:r>
    </w:p>
    <w:p w:rsidR="00670492" w:rsidRPr="00521425" w:rsidRDefault="001429DF">
      <w:pPr>
        <w:rPr>
          <w:rFonts w:ascii="Arial" w:eastAsia="Calibri" w:hAnsi="Arial" w:cs="Arial"/>
          <w:color w:val="auto"/>
          <w:sz w:val="24"/>
          <w:szCs w:val="24"/>
        </w:rPr>
      </w:pPr>
      <w:r w:rsidRPr="00521425">
        <w:rPr>
          <w:rFonts w:ascii="Arial" w:eastAsia="Calibri" w:hAnsi="Arial" w:cs="Arial"/>
          <w:b/>
          <w:color w:val="auto"/>
          <w:sz w:val="24"/>
          <w:szCs w:val="24"/>
        </w:rPr>
        <w:t>Tahoe/Truckee:</w:t>
      </w:r>
      <w:r w:rsidRPr="00521425">
        <w:rPr>
          <w:rFonts w:ascii="Arial" w:eastAsia="Calibri" w:hAnsi="Arial" w:cs="Arial"/>
          <w:color w:val="auto"/>
          <w:sz w:val="24"/>
          <w:szCs w:val="24"/>
        </w:rPr>
        <w:t xml:space="preserve"> </w:t>
      </w:r>
    </w:p>
    <w:p w:rsidR="00670492" w:rsidRPr="00521425" w:rsidRDefault="001429DF" w:rsidP="00B75B07">
      <w:pPr>
        <w:pBdr>
          <w:top w:val="nil"/>
          <w:left w:val="nil"/>
          <w:bottom w:val="nil"/>
          <w:right w:val="nil"/>
          <w:between w:val="nil"/>
        </w:pBdr>
        <w:spacing w:line="240" w:lineRule="auto"/>
        <w:rPr>
          <w:rFonts w:ascii="Arial" w:eastAsia="Calibri" w:hAnsi="Arial" w:cs="Arial"/>
          <w:color w:val="auto"/>
          <w:sz w:val="24"/>
          <w:szCs w:val="24"/>
        </w:rPr>
      </w:pPr>
      <w:r w:rsidRPr="00521425">
        <w:rPr>
          <w:rFonts w:ascii="Arial" w:eastAsia="Calibri" w:hAnsi="Arial" w:cs="Arial"/>
          <w:color w:val="auto"/>
          <w:sz w:val="24"/>
          <w:szCs w:val="24"/>
        </w:rPr>
        <w:t xml:space="preserve">Tahoe Truckee Unified spans 732 square miles in the </w:t>
      </w:r>
      <w:proofErr w:type="spellStart"/>
      <w:r w:rsidRPr="00521425">
        <w:rPr>
          <w:rFonts w:ascii="Arial" w:eastAsia="Calibri" w:hAnsi="Arial" w:cs="Arial"/>
          <w:color w:val="auto"/>
          <w:sz w:val="24"/>
          <w:szCs w:val="24"/>
        </w:rPr>
        <w:t>the</w:t>
      </w:r>
      <w:proofErr w:type="spellEnd"/>
      <w:r w:rsidRPr="00521425">
        <w:rPr>
          <w:rFonts w:ascii="Arial" w:eastAsia="Calibri" w:hAnsi="Arial" w:cs="Arial"/>
          <w:color w:val="auto"/>
          <w:sz w:val="24"/>
          <w:szCs w:val="24"/>
        </w:rPr>
        <w:t xml:space="preserve"> High Sierra region primarily of Placer and Nevada counties, with a slight portion of El Dorado, and east of Donner Pass to the Nevada state line.  For this reason, when identifying the high-skill, higher-wage, and high-need careers in this region, zip codes must be looked at closely, rather than by state regions or counties.  65% of our students live in the Truckee region with 35% living in North Tahoe.  64% are Hispanic with 29% being White.  58% speak Spanish as their primary language and 42% speak English.  46% were born in the United States.  64% are married.  16.6% make $0 - $7500. 13% make $7,500 - $15,000. 39% make $15,000 - $50,000.  69% employed, 8% full time student, 12.6% are unemployed. Goals: 29.8% learn/improve </w:t>
      </w:r>
      <w:r w:rsidRPr="00521425">
        <w:rPr>
          <w:rFonts w:ascii="Arial" w:eastAsia="Calibri" w:hAnsi="Arial" w:cs="Arial"/>
          <w:color w:val="auto"/>
          <w:sz w:val="24"/>
          <w:szCs w:val="24"/>
        </w:rPr>
        <w:lastRenderedPageBreak/>
        <w:t>English skills, 27.2% family goals, 12.6% enter college or training, 3.3% get a job, 3.3% get a promotion, 11.9% get GED, 1.3% get U.S. citizenship</w:t>
      </w:r>
    </w:p>
    <w:p w:rsidR="00670492" w:rsidRPr="00521425" w:rsidRDefault="001429DF" w:rsidP="00B75B07">
      <w:pPr>
        <w:pBdr>
          <w:top w:val="nil"/>
          <w:left w:val="nil"/>
          <w:bottom w:val="nil"/>
          <w:right w:val="nil"/>
          <w:between w:val="nil"/>
        </w:pBdr>
        <w:spacing w:line="240" w:lineRule="auto"/>
        <w:rPr>
          <w:rFonts w:ascii="Arial" w:eastAsia="Calibri" w:hAnsi="Arial" w:cs="Arial"/>
          <w:color w:val="auto"/>
          <w:sz w:val="24"/>
          <w:szCs w:val="24"/>
        </w:rPr>
      </w:pPr>
      <w:r w:rsidRPr="00521425">
        <w:rPr>
          <w:rFonts w:ascii="Arial" w:eastAsia="Calibri" w:hAnsi="Arial" w:cs="Arial"/>
          <w:color w:val="auto"/>
          <w:sz w:val="24"/>
          <w:szCs w:val="24"/>
        </w:rPr>
        <w:t xml:space="preserve">Working closely with the Workforce Development Board, an analysis was performed of the Occupational Employment and Wage data of this community.  For the Northern Mountain Region, which includes Nevada County, Computer and Mathematical Occupations (15-000) is projected to grow by 20% by 2024 and Healthcare Practitioners and Technical Occupations (29-000) is projected to grow by 31% by 2024.  Using the Employment Development Department's Labor Market Information Division data, for the Northern Mountains Region, which includes Nevada County, many of the job openings and fastest growing occupations are not in the High Sierra portion of the county.  Industry employment projections do show large employment and growth in the manufacturing, construction, trade/transportation/utilities, information, health care, waste management, and leisure and hospitality industries, all of which our CTE pathways lead.  </w:t>
      </w:r>
    </w:p>
    <w:p w:rsidR="00670492" w:rsidRPr="00521425" w:rsidRDefault="001429DF">
      <w:pPr>
        <w:widowControl w:val="0"/>
        <w:spacing w:before="196" w:after="0"/>
        <w:ind w:right="412"/>
        <w:rPr>
          <w:rFonts w:ascii="Arial" w:eastAsia="Calibri" w:hAnsi="Arial" w:cs="Arial"/>
          <w:b/>
          <w:color w:val="auto"/>
          <w:sz w:val="24"/>
          <w:szCs w:val="24"/>
        </w:rPr>
      </w:pPr>
      <w:r w:rsidRPr="00521425">
        <w:rPr>
          <w:rFonts w:ascii="Arial" w:eastAsia="Calibri" w:hAnsi="Arial" w:cs="Arial"/>
          <w:b/>
          <w:color w:val="auto"/>
          <w:sz w:val="24"/>
          <w:szCs w:val="24"/>
        </w:rPr>
        <w:t>3. Alignment between needs and levels and types of services available within the region to meet Adult Education and workforce needs.</w:t>
      </w:r>
    </w:p>
    <w:p w:rsidR="00670492" w:rsidRPr="00521425" w:rsidRDefault="001429DF" w:rsidP="00B75B07">
      <w:pPr>
        <w:pBdr>
          <w:top w:val="nil"/>
          <w:left w:val="nil"/>
          <w:bottom w:val="nil"/>
          <w:right w:val="nil"/>
          <w:between w:val="nil"/>
        </w:pBdr>
        <w:spacing w:line="240" w:lineRule="auto"/>
        <w:rPr>
          <w:rFonts w:ascii="Arial" w:eastAsia="Calibri" w:hAnsi="Arial" w:cs="Arial"/>
          <w:color w:val="auto"/>
          <w:sz w:val="24"/>
          <w:szCs w:val="24"/>
        </w:rPr>
      </w:pPr>
      <w:r w:rsidRPr="00521425">
        <w:rPr>
          <w:rFonts w:ascii="Arial" w:eastAsia="Calibri" w:hAnsi="Arial" w:cs="Arial"/>
          <w:color w:val="auto"/>
          <w:sz w:val="24"/>
          <w:szCs w:val="24"/>
        </w:rPr>
        <w:t xml:space="preserve">Consortium wide, we believe we are providing relevant services, education and training at appropriate levels in most of our region.  </w:t>
      </w:r>
      <w:r w:rsidRPr="00521425">
        <w:rPr>
          <w:rFonts w:ascii="Arial" w:eastAsia="Calibri" w:hAnsi="Arial" w:cs="Arial"/>
          <w:color w:val="auto"/>
          <w:sz w:val="24"/>
          <w:szCs w:val="24"/>
        </w:rPr>
        <w:br/>
      </w:r>
      <w:r w:rsidR="00B75B07">
        <w:rPr>
          <w:rFonts w:ascii="Arial" w:eastAsia="Calibri" w:hAnsi="Arial" w:cs="Arial"/>
          <w:color w:val="auto"/>
          <w:sz w:val="24"/>
          <w:szCs w:val="24"/>
        </w:rPr>
        <w:br/>
      </w:r>
      <w:r w:rsidRPr="00B75B07">
        <w:rPr>
          <w:rFonts w:ascii="Arial" w:eastAsia="Calibri" w:hAnsi="Arial" w:cs="Arial"/>
          <w:color w:val="auto"/>
          <w:sz w:val="24"/>
          <w:szCs w:val="24"/>
        </w:rPr>
        <w:t>Examples of alignment in needs/types of services:</w:t>
      </w:r>
    </w:p>
    <w:p w:rsidR="00670492" w:rsidRPr="00521425" w:rsidRDefault="001429DF" w:rsidP="00B75B07">
      <w:pPr>
        <w:pBdr>
          <w:top w:val="nil"/>
          <w:left w:val="nil"/>
          <w:bottom w:val="nil"/>
          <w:right w:val="nil"/>
          <w:between w:val="nil"/>
        </w:pBdr>
        <w:spacing w:line="240" w:lineRule="auto"/>
        <w:rPr>
          <w:rFonts w:ascii="Arial" w:eastAsia="Calibri" w:hAnsi="Arial" w:cs="Arial"/>
          <w:color w:val="auto"/>
          <w:sz w:val="24"/>
          <w:szCs w:val="24"/>
        </w:rPr>
      </w:pPr>
      <w:r w:rsidRPr="00521425">
        <w:rPr>
          <w:rFonts w:ascii="Arial" w:eastAsia="Calibri" w:hAnsi="Arial" w:cs="Arial"/>
          <w:color w:val="auto"/>
          <w:sz w:val="24"/>
          <w:szCs w:val="24"/>
        </w:rPr>
        <w:t>Placer School for Adults has stepped up to help to support the regional workforce not only in the high school subjects, GED, and ESL (the 231 group), but also through inmate education (845 students). Since Auburn does not have a formal “One-Stop” PSA has opened up a Career Center. The Career Center and the added collaboration with partners has allowed us to serve thousands more students than we have in the past. In school year 2017-18 PSA served 14,213 students in classes and services, as seen through total registrations, offered 1,099 classes, and includes 5,684 unduplicated students. The current method that only reflects numbers that roll-up into TE has discounted the students and supports offered but who did not hit 12+ hours, or who attended in separate “periods of participation”, or who got a job outside the “period of participation”; therefore the current counting of students and support delivered is highly inaccurate, and sadly does not reflect the extensive levels or rigorous work and support to adults provided by adult education throughout the state.</w:t>
      </w:r>
      <w:r w:rsidRPr="00521425">
        <w:rPr>
          <w:rFonts w:ascii="Arial" w:eastAsia="Calibri" w:hAnsi="Arial" w:cs="Arial"/>
          <w:color w:val="auto"/>
          <w:sz w:val="24"/>
          <w:szCs w:val="24"/>
        </w:rPr>
        <w:br/>
      </w:r>
      <w:r w:rsidR="00B75B07">
        <w:rPr>
          <w:rFonts w:ascii="Arial" w:eastAsia="Calibri" w:hAnsi="Arial" w:cs="Arial"/>
          <w:color w:val="auto"/>
          <w:sz w:val="24"/>
          <w:szCs w:val="24"/>
        </w:rPr>
        <w:br/>
      </w:r>
      <w:r w:rsidRPr="00521425">
        <w:rPr>
          <w:rFonts w:ascii="Arial" w:eastAsia="Calibri" w:hAnsi="Arial" w:cs="Arial"/>
          <w:color w:val="auto"/>
          <w:sz w:val="24"/>
          <w:szCs w:val="24"/>
        </w:rPr>
        <w:t xml:space="preserve">Tahoe Truckee Unified Adult Programs has developed a GED testing center that offers a local opportunity to take the GED tests. The GED courses are offered in English and Spanish to support Spanish speakers which have the highest population without a high-school diploma in our region. ESL and GED courses are offered across the 725 </w:t>
      </w:r>
      <w:proofErr w:type="spellStart"/>
      <w:r w:rsidRPr="00521425">
        <w:rPr>
          <w:rFonts w:ascii="Arial" w:eastAsia="Calibri" w:hAnsi="Arial" w:cs="Arial"/>
          <w:color w:val="auto"/>
          <w:sz w:val="24"/>
          <w:szCs w:val="24"/>
        </w:rPr>
        <w:t>sq.mi</w:t>
      </w:r>
      <w:proofErr w:type="spellEnd"/>
      <w:r w:rsidRPr="00521425">
        <w:rPr>
          <w:rFonts w:ascii="Arial" w:eastAsia="Calibri" w:hAnsi="Arial" w:cs="Arial"/>
          <w:color w:val="auto"/>
          <w:sz w:val="24"/>
          <w:szCs w:val="24"/>
        </w:rPr>
        <w:t xml:space="preserve"> school district in order to meet the needs of small pockets of underrepresented populations.  TTUSD also has added Automotive Technician, Welding, 1st Aid/CPR, and NCCER Construction courses supported with an Interpreter/Translator intern assigned to support Spanish speaking learners.  In addition, TTUSD schedules an annual visit by the Mexican Consulate to support undocumented adults in obtaining legal Mexican documentation and </w:t>
      </w:r>
      <w:r w:rsidRPr="00521425">
        <w:rPr>
          <w:rFonts w:ascii="Arial" w:eastAsia="Calibri" w:hAnsi="Arial" w:cs="Arial"/>
          <w:color w:val="auto"/>
          <w:sz w:val="24"/>
          <w:szCs w:val="24"/>
        </w:rPr>
        <w:lastRenderedPageBreak/>
        <w:t>move toward beginning their 5-years of legal residency in order to qualify to take the exam for citizenship</w:t>
      </w:r>
    </w:p>
    <w:p w:rsidR="00670492" w:rsidRPr="00521425" w:rsidRDefault="001429DF" w:rsidP="00B75B07">
      <w:pPr>
        <w:pBdr>
          <w:top w:val="nil"/>
          <w:left w:val="nil"/>
          <w:bottom w:val="nil"/>
          <w:right w:val="nil"/>
          <w:between w:val="nil"/>
        </w:pBdr>
        <w:spacing w:line="240" w:lineRule="auto"/>
        <w:rPr>
          <w:rFonts w:ascii="Arial" w:eastAsia="Calibri" w:hAnsi="Arial" w:cs="Arial"/>
          <w:color w:val="auto"/>
          <w:sz w:val="24"/>
          <w:szCs w:val="24"/>
        </w:rPr>
      </w:pPr>
      <w:r w:rsidRPr="00521425">
        <w:rPr>
          <w:rFonts w:ascii="Arial" w:eastAsia="Calibri" w:hAnsi="Arial" w:cs="Arial"/>
          <w:color w:val="auto"/>
          <w:sz w:val="24"/>
          <w:szCs w:val="24"/>
        </w:rPr>
        <w:t xml:space="preserve">Roseville Adult School continues to serve Adult Secondary Students with </w:t>
      </w:r>
      <w:r w:rsidR="00B75B07" w:rsidRPr="00521425">
        <w:rPr>
          <w:rFonts w:ascii="Arial" w:eastAsia="Calibri" w:hAnsi="Arial" w:cs="Arial"/>
          <w:color w:val="auto"/>
          <w:sz w:val="24"/>
          <w:szCs w:val="24"/>
        </w:rPr>
        <w:t>High</w:t>
      </w:r>
      <w:r w:rsidRPr="00521425">
        <w:rPr>
          <w:rFonts w:ascii="Arial" w:eastAsia="Calibri" w:hAnsi="Arial" w:cs="Arial"/>
          <w:color w:val="auto"/>
          <w:sz w:val="24"/>
          <w:szCs w:val="24"/>
        </w:rPr>
        <w:t xml:space="preserve"> School Diploma classes, GED and </w:t>
      </w:r>
      <w:proofErr w:type="spellStart"/>
      <w:r w:rsidRPr="00521425">
        <w:rPr>
          <w:rFonts w:ascii="Arial" w:eastAsia="Calibri" w:hAnsi="Arial" w:cs="Arial"/>
          <w:color w:val="auto"/>
          <w:sz w:val="24"/>
          <w:szCs w:val="24"/>
        </w:rPr>
        <w:t>HiSet</w:t>
      </w:r>
      <w:proofErr w:type="spellEnd"/>
      <w:r w:rsidRPr="00521425">
        <w:rPr>
          <w:rFonts w:ascii="Arial" w:eastAsia="Calibri" w:hAnsi="Arial" w:cs="Arial"/>
          <w:color w:val="auto"/>
          <w:sz w:val="24"/>
          <w:szCs w:val="24"/>
        </w:rPr>
        <w:t xml:space="preserve"> Preparation, as well as Adult Basic Education.  WE have a great need for ESL classes here in Roseville and we offer 9 different classes that run year round.  We have recently added a sheltered diploma class for English Language Learners who are close to their diploma but need extra support in English Language.  We have added several CTE classes and will seek Accreditation from the Council On Occupational Education.</w:t>
      </w:r>
    </w:p>
    <w:p w:rsidR="00670492" w:rsidRPr="00521425" w:rsidRDefault="001429DF" w:rsidP="00B75B07">
      <w:pPr>
        <w:pBdr>
          <w:top w:val="nil"/>
          <w:left w:val="nil"/>
          <w:bottom w:val="nil"/>
          <w:right w:val="nil"/>
          <w:between w:val="nil"/>
        </w:pBdr>
        <w:spacing w:line="240" w:lineRule="auto"/>
        <w:rPr>
          <w:rFonts w:ascii="Arial" w:eastAsia="Calibri" w:hAnsi="Arial" w:cs="Arial"/>
          <w:color w:val="auto"/>
          <w:sz w:val="24"/>
          <w:szCs w:val="24"/>
        </w:rPr>
      </w:pPr>
      <w:r w:rsidRPr="00521425">
        <w:rPr>
          <w:rFonts w:ascii="Arial" w:eastAsia="Calibri" w:hAnsi="Arial" w:cs="Arial"/>
          <w:color w:val="auto"/>
          <w:sz w:val="24"/>
          <w:szCs w:val="24"/>
        </w:rPr>
        <w:t xml:space="preserve">Nevada Union Adult Education has expanded its High School Diploma/Equivalency program. This expansion was based on census data that reported </w:t>
      </w:r>
      <w:r w:rsidR="00B75B07" w:rsidRPr="00521425">
        <w:rPr>
          <w:rFonts w:ascii="Arial" w:eastAsia="Calibri" w:hAnsi="Arial" w:cs="Arial"/>
          <w:color w:val="auto"/>
          <w:sz w:val="24"/>
          <w:szCs w:val="24"/>
        </w:rPr>
        <w:t>over</w:t>
      </w:r>
      <w:r w:rsidRPr="00521425">
        <w:rPr>
          <w:rFonts w:ascii="Arial" w:eastAsia="Calibri" w:hAnsi="Arial" w:cs="Arial"/>
          <w:color w:val="auto"/>
          <w:sz w:val="24"/>
          <w:szCs w:val="24"/>
        </w:rPr>
        <w:t xml:space="preserve"> 6,000 adults in the county that didn’t have a high school diploma. We created an online, self-paced, curriculum where the student may drop in to our classroom for tutoring and proctored tests.</w:t>
      </w:r>
      <w:r w:rsidR="00B75B07">
        <w:rPr>
          <w:rFonts w:ascii="Arial" w:eastAsia="Calibri" w:hAnsi="Arial" w:cs="Arial"/>
          <w:color w:val="auto"/>
          <w:sz w:val="24"/>
          <w:szCs w:val="24"/>
        </w:rPr>
        <w:t xml:space="preserve"> </w:t>
      </w:r>
    </w:p>
    <w:p w:rsidR="00670492" w:rsidRPr="00521425" w:rsidRDefault="001429DF" w:rsidP="00B75B07">
      <w:pPr>
        <w:pBdr>
          <w:top w:val="nil"/>
          <w:left w:val="nil"/>
          <w:bottom w:val="nil"/>
          <w:right w:val="nil"/>
          <w:between w:val="nil"/>
        </w:pBdr>
        <w:spacing w:line="240" w:lineRule="auto"/>
        <w:rPr>
          <w:rFonts w:ascii="Arial" w:eastAsia="Calibri" w:hAnsi="Arial" w:cs="Arial"/>
          <w:color w:val="auto"/>
          <w:sz w:val="24"/>
          <w:szCs w:val="24"/>
        </w:rPr>
      </w:pPr>
      <w:r w:rsidRPr="00521425">
        <w:rPr>
          <w:rFonts w:ascii="Arial" w:eastAsia="Calibri" w:hAnsi="Arial" w:cs="Arial"/>
          <w:color w:val="auto"/>
          <w:sz w:val="24"/>
          <w:szCs w:val="24"/>
        </w:rPr>
        <w:t>Sierra College is evaluating and adding programs to better align with industry needs from healthcare to construction and manufacturing.  Noncredit courses and certificate programs have been introduced to offer adult students a tuition-free, repeatable opportunity to start college in areas such as Construction, Computers and ESL.  Noncredit pathways prepare students for entry level work and also connect back to related degree and certificate programs as they grow in their careers.  ESL offerings have also expanded to noncredit to give students an opportunity to transition from adult school to college tuition-free saving financial aid dollars until they are ready to start transfer level degrees or certificate programs.</w:t>
      </w:r>
    </w:p>
    <w:p w:rsidR="00670492" w:rsidRPr="00B75B07" w:rsidRDefault="001429DF" w:rsidP="00B75B07">
      <w:pPr>
        <w:pBdr>
          <w:top w:val="nil"/>
          <w:left w:val="nil"/>
          <w:bottom w:val="nil"/>
          <w:right w:val="nil"/>
          <w:between w:val="nil"/>
        </w:pBdr>
        <w:spacing w:line="240" w:lineRule="auto"/>
        <w:rPr>
          <w:rFonts w:ascii="Arial" w:eastAsia="Calibri" w:hAnsi="Arial" w:cs="Arial"/>
          <w:color w:val="auto"/>
          <w:sz w:val="24"/>
          <w:szCs w:val="24"/>
        </w:rPr>
      </w:pPr>
      <w:r w:rsidRPr="00B75B07">
        <w:rPr>
          <w:rFonts w:ascii="Arial" w:eastAsia="Calibri" w:hAnsi="Arial" w:cs="Arial"/>
          <w:color w:val="auto"/>
          <w:sz w:val="24"/>
          <w:szCs w:val="24"/>
        </w:rPr>
        <w:t>Gaps in Needs that will be address in Goals for 2019-2021:</w:t>
      </w:r>
    </w:p>
    <w:p w:rsidR="00670492" w:rsidRPr="00521425" w:rsidRDefault="001429DF" w:rsidP="00B75B07">
      <w:pPr>
        <w:pBdr>
          <w:top w:val="nil"/>
          <w:left w:val="nil"/>
          <w:bottom w:val="nil"/>
          <w:right w:val="nil"/>
          <w:between w:val="nil"/>
        </w:pBdr>
        <w:spacing w:line="240" w:lineRule="auto"/>
        <w:rPr>
          <w:rFonts w:ascii="Arial" w:eastAsia="Calibri" w:hAnsi="Arial" w:cs="Arial"/>
          <w:color w:val="auto"/>
          <w:sz w:val="24"/>
          <w:szCs w:val="24"/>
        </w:rPr>
      </w:pPr>
      <w:r w:rsidRPr="00521425">
        <w:rPr>
          <w:rFonts w:ascii="Arial" w:eastAsia="Calibri" w:hAnsi="Arial" w:cs="Arial"/>
          <w:color w:val="auto"/>
          <w:sz w:val="24"/>
          <w:szCs w:val="24"/>
        </w:rPr>
        <w:t xml:space="preserve">Nevada county has over 5400 residents (7.3% of county) that haven’t earned a high school diploma. Our goals are to expand the High School Diploma and High School Equivalency programs to meet the needs of the students and the area employers. </w:t>
      </w:r>
    </w:p>
    <w:p w:rsidR="00670492" w:rsidRPr="00521425" w:rsidRDefault="001429DF" w:rsidP="00B75B07">
      <w:pPr>
        <w:pBdr>
          <w:top w:val="nil"/>
          <w:left w:val="nil"/>
          <w:bottom w:val="nil"/>
          <w:right w:val="nil"/>
          <w:between w:val="nil"/>
        </w:pBdr>
        <w:spacing w:line="240" w:lineRule="auto"/>
        <w:rPr>
          <w:rFonts w:ascii="Arial" w:eastAsia="Calibri" w:hAnsi="Arial" w:cs="Arial"/>
          <w:color w:val="auto"/>
          <w:sz w:val="24"/>
          <w:szCs w:val="24"/>
        </w:rPr>
      </w:pPr>
      <w:r w:rsidRPr="00521425">
        <w:rPr>
          <w:rFonts w:ascii="Arial" w:eastAsia="Calibri" w:hAnsi="Arial" w:cs="Arial"/>
          <w:color w:val="auto"/>
          <w:sz w:val="24"/>
          <w:szCs w:val="24"/>
        </w:rPr>
        <w:t xml:space="preserve">This expansion is multifaceted including: an increase the hours of operations, open satellite locations, modernize curriculum to allow for students to </w:t>
      </w:r>
      <w:r w:rsidR="00B75B07" w:rsidRPr="00521425">
        <w:rPr>
          <w:rFonts w:ascii="Arial" w:eastAsia="Calibri" w:hAnsi="Arial" w:cs="Arial"/>
          <w:color w:val="auto"/>
          <w:sz w:val="24"/>
          <w:szCs w:val="24"/>
        </w:rPr>
        <w:t>self-pace</w:t>
      </w:r>
      <w:r w:rsidRPr="00521425">
        <w:rPr>
          <w:rFonts w:ascii="Arial" w:eastAsia="Calibri" w:hAnsi="Arial" w:cs="Arial"/>
          <w:color w:val="auto"/>
          <w:sz w:val="24"/>
          <w:szCs w:val="24"/>
        </w:rPr>
        <w:t xml:space="preserve">, and provide free </w:t>
      </w:r>
      <w:r w:rsidR="00B75B07" w:rsidRPr="00521425">
        <w:rPr>
          <w:rFonts w:ascii="Arial" w:eastAsia="Calibri" w:hAnsi="Arial" w:cs="Arial"/>
          <w:color w:val="auto"/>
          <w:sz w:val="24"/>
          <w:szCs w:val="24"/>
        </w:rPr>
        <w:t>babysitting</w:t>
      </w:r>
      <w:r w:rsidRPr="00521425">
        <w:rPr>
          <w:rFonts w:ascii="Arial" w:eastAsia="Calibri" w:hAnsi="Arial" w:cs="Arial"/>
          <w:color w:val="auto"/>
          <w:sz w:val="24"/>
          <w:szCs w:val="24"/>
        </w:rPr>
        <w:t>.</w:t>
      </w:r>
    </w:p>
    <w:p w:rsidR="00670492" w:rsidRPr="00521425" w:rsidRDefault="001429DF" w:rsidP="00B75B07">
      <w:pPr>
        <w:pBdr>
          <w:top w:val="nil"/>
          <w:left w:val="nil"/>
          <w:bottom w:val="nil"/>
          <w:right w:val="nil"/>
          <w:between w:val="nil"/>
        </w:pBdr>
        <w:spacing w:line="240" w:lineRule="auto"/>
        <w:rPr>
          <w:rFonts w:ascii="Arial" w:eastAsia="Calibri" w:hAnsi="Arial" w:cs="Arial"/>
          <w:color w:val="auto"/>
          <w:sz w:val="24"/>
          <w:szCs w:val="24"/>
        </w:rPr>
      </w:pPr>
      <w:r w:rsidRPr="00521425">
        <w:rPr>
          <w:rFonts w:ascii="Arial" w:eastAsia="Calibri" w:hAnsi="Arial" w:cs="Arial"/>
          <w:color w:val="auto"/>
          <w:sz w:val="24"/>
          <w:szCs w:val="24"/>
        </w:rPr>
        <w:t>Rocklin (population 64,838) and Lincoln (population 45,837) do not have adult school programs.  This is a gap in alignment of needs and services within our region, particularly with regards to ESL and high school diploma.  These areas fall between PSA and RAS district areas and will be addressed in the goals in section 2.4.</w:t>
      </w:r>
    </w:p>
    <w:p w:rsidR="00670492" w:rsidRPr="00521425" w:rsidRDefault="001429DF" w:rsidP="00B75B07">
      <w:pPr>
        <w:pBdr>
          <w:top w:val="nil"/>
          <w:left w:val="nil"/>
          <w:bottom w:val="nil"/>
          <w:right w:val="nil"/>
          <w:between w:val="nil"/>
        </w:pBdr>
        <w:spacing w:line="240" w:lineRule="auto"/>
        <w:rPr>
          <w:rFonts w:ascii="Arial" w:eastAsia="Calibri" w:hAnsi="Arial" w:cs="Arial"/>
          <w:color w:val="auto"/>
          <w:sz w:val="24"/>
          <w:szCs w:val="24"/>
        </w:rPr>
      </w:pPr>
      <w:r w:rsidRPr="00521425">
        <w:rPr>
          <w:rFonts w:ascii="Arial" w:eastAsia="Calibri" w:hAnsi="Arial" w:cs="Arial"/>
          <w:color w:val="auto"/>
          <w:sz w:val="24"/>
          <w:szCs w:val="24"/>
        </w:rPr>
        <w:t>Currently, consortium wide, not enough adult education students move on to post-secondary education for higher level training that could lead to higher paying jobs. More effort should/will be focused on assisting adults transition to post-secondary education to earn certificates and degrees.</w:t>
      </w:r>
    </w:p>
    <w:p w:rsidR="00670492" w:rsidRPr="00B75B07" w:rsidRDefault="001429DF" w:rsidP="00B75B07">
      <w:pPr>
        <w:pBdr>
          <w:top w:val="nil"/>
          <w:left w:val="nil"/>
          <w:bottom w:val="nil"/>
          <w:right w:val="nil"/>
          <w:between w:val="nil"/>
        </w:pBdr>
        <w:spacing w:line="240" w:lineRule="auto"/>
        <w:rPr>
          <w:rFonts w:ascii="Arial" w:eastAsia="Calibri" w:hAnsi="Arial" w:cs="Arial"/>
          <w:color w:val="auto"/>
          <w:sz w:val="24"/>
          <w:szCs w:val="24"/>
        </w:rPr>
      </w:pPr>
      <w:r w:rsidRPr="00B75B07">
        <w:rPr>
          <w:rFonts w:ascii="Arial" w:eastAsia="Calibri" w:hAnsi="Arial" w:cs="Arial"/>
          <w:color w:val="auto"/>
          <w:sz w:val="24"/>
          <w:szCs w:val="24"/>
        </w:rPr>
        <w:br w:type="page"/>
      </w:r>
    </w:p>
    <w:p w:rsidR="00670492" w:rsidRPr="00521425" w:rsidRDefault="001429DF">
      <w:pPr>
        <w:pStyle w:val="Heading2"/>
        <w:rPr>
          <w:rFonts w:ascii="Arial" w:hAnsi="Arial" w:cs="Arial"/>
          <w:color w:val="auto"/>
          <w:sz w:val="24"/>
          <w:szCs w:val="24"/>
        </w:rPr>
      </w:pPr>
      <w:bookmarkStart w:id="60" w:name="_Toc10017478"/>
      <w:r w:rsidRPr="00521425">
        <w:rPr>
          <w:rFonts w:ascii="Arial" w:hAnsi="Arial" w:cs="Arial"/>
          <w:color w:val="auto"/>
          <w:sz w:val="24"/>
          <w:szCs w:val="24"/>
        </w:rPr>
        <w:lastRenderedPageBreak/>
        <w:t>2.4 Identifying Goals and Strategies</w:t>
      </w:r>
      <w:bookmarkEnd w:id="60"/>
    </w:p>
    <w:p w:rsidR="00670492" w:rsidRPr="00521425" w:rsidRDefault="001429DF">
      <w:pPr>
        <w:rPr>
          <w:rFonts w:ascii="Arial" w:eastAsia="Calibri" w:hAnsi="Arial" w:cs="Arial"/>
          <w:color w:val="auto"/>
          <w:sz w:val="24"/>
          <w:szCs w:val="24"/>
        </w:rPr>
      </w:pPr>
      <w:r w:rsidRPr="00521425">
        <w:rPr>
          <w:rFonts w:ascii="Arial" w:eastAsia="Calibri" w:hAnsi="Arial" w:cs="Arial"/>
          <w:color w:val="auto"/>
          <w:sz w:val="24"/>
          <w:szCs w:val="24"/>
        </w:rPr>
        <w:t>     </w:t>
      </w:r>
    </w:p>
    <w:p w:rsidR="00670492" w:rsidRPr="00521425" w:rsidRDefault="001429DF">
      <w:pPr>
        <w:pStyle w:val="Heading3"/>
        <w:spacing w:line="276" w:lineRule="auto"/>
        <w:rPr>
          <w:rFonts w:ascii="Arial" w:eastAsia="Calibri" w:hAnsi="Arial" w:cs="Arial"/>
          <w:color w:val="auto"/>
        </w:rPr>
      </w:pPr>
      <w:bookmarkStart w:id="61" w:name="_Toc10017479"/>
      <w:r w:rsidRPr="00521425">
        <w:rPr>
          <w:rFonts w:ascii="Arial" w:eastAsia="Calibri" w:hAnsi="Arial" w:cs="Arial"/>
          <w:color w:val="auto"/>
        </w:rPr>
        <w:t>Consortium-wide Goals for 2019-2012</w:t>
      </w:r>
      <w:bookmarkEnd w:id="61"/>
    </w:p>
    <w:p w:rsidR="00670492" w:rsidRPr="00521425" w:rsidRDefault="001429DF">
      <w:pPr>
        <w:pStyle w:val="Heading3"/>
        <w:spacing w:line="276" w:lineRule="auto"/>
        <w:rPr>
          <w:rFonts w:ascii="Arial" w:eastAsia="Calibri" w:hAnsi="Arial" w:cs="Arial"/>
          <w:color w:val="auto"/>
        </w:rPr>
      </w:pPr>
      <w:bookmarkStart w:id="62" w:name="_Toc10017480"/>
      <w:r w:rsidRPr="00521425">
        <w:rPr>
          <w:rFonts w:ascii="Arial" w:eastAsia="Calibri" w:hAnsi="Arial" w:cs="Arial"/>
          <w:color w:val="auto"/>
        </w:rPr>
        <w:t>Goal 1: Expand program and course offerings in remote and/or underserved locations within Consortium boundaries to fill gaps and meet customer needs.</w:t>
      </w:r>
      <w:bookmarkEnd w:id="62"/>
    </w:p>
    <w:p w:rsidR="00670492" w:rsidRPr="00521425" w:rsidRDefault="001429DF">
      <w:pPr>
        <w:pStyle w:val="Heading3"/>
        <w:spacing w:line="276" w:lineRule="auto"/>
        <w:ind w:left="720"/>
        <w:rPr>
          <w:rFonts w:ascii="Arial" w:eastAsia="Calibri" w:hAnsi="Arial" w:cs="Arial"/>
          <w:b w:val="0"/>
          <w:color w:val="auto"/>
        </w:rPr>
      </w:pPr>
      <w:bookmarkStart w:id="63" w:name="_Toc10017481"/>
      <w:r w:rsidRPr="00521425">
        <w:rPr>
          <w:rFonts w:ascii="Arial" w:eastAsia="Calibri" w:hAnsi="Arial" w:cs="Arial"/>
          <w:color w:val="auto"/>
        </w:rPr>
        <w:t xml:space="preserve">Activity: </w:t>
      </w:r>
      <w:r w:rsidRPr="00521425">
        <w:rPr>
          <w:rFonts w:ascii="Arial" w:eastAsia="Calibri" w:hAnsi="Arial" w:cs="Arial"/>
          <w:b w:val="0"/>
          <w:color w:val="auto"/>
        </w:rPr>
        <w:t>Utilize/expand streaming/distance learning technology between consortium partners.  Nevada Union Adult Education is planning on alternating these classes between the Nevada Union High School location and its new satellite classroom located on the Bear River High School campus.</w:t>
      </w:r>
      <w:bookmarkEnd w:id="63"/>
    </w:p>
    <w:p w:rsidR="00670492" w:rsidRPr="00521425" w:rsidRDefault="001429DF">
      <w:pPr>
        <w:pStyle w:val="Heading3"/>
        <w:spacing w:line="276" w:lineRule="auto"/>
        <w:ind w:left="720"/>
        <w:rPr>
          <w:rFonts w:ascii="Arial" w:eastAsia="Calibri" w:hAnsi="Arial" w:cs="Arial"/>
          <w:b w:val="0"/>
          <w:color w:val="auto"/>
        </w:rPr>
      </w:pPr>
      <w:bookmarkStart w:id="64" w:name="_Toc10017482"/>
      <w:r w:rsidRPr="00521425">
        <w:rPr>
          <w:rFonts w:ascii="Arial" w:eastAsia="Calibri" w:hAnsi="Arial" w:cs="Arial"/>
          <w:color w:val="auto"/>
        </w:rPr>
        <w:t xml:space="preserve">Activity:  </w:t>
      </w:r>
      <w:r w:rsidRPr="00521425">
        <w:rPr>
          <w:rFonts w:ascii="Arial" w:eastAsia="Calibri" w:hAnsi="Arial" w:cs="Arial"/>
          <w:b w:val="0"/>
          <w:color w:val="auto"/>
        </w:rPr>
        <w:t>Expand to Lincoln to fill a gap in ESL/Career education with a partnership between RAS and PSA</w:t>
      </w:r>
      <w:r w:rsidRPr="00521425">
        <w:rPr>
          <w:rFonts w:ascii="Arial" w:eastAsia="Calibri" w:hAnsi="Arial" w:cs="Arial"/>
          <w:color w:val="auto"/>
        </w:rPr>
        <w:t xml:space="preserve">.  </w:t>
      </w:r>
      <w:r w:rsidRPr="00521425">
        <w:rPr>
          <w:rFonts w:ascii="Arial" w:eastAsia="Calibri" w:hAnsi="Arial" w:cs="Arial"/>
          <w:b w:val="0"/>
          <w:color w:val="auto"/>
        </w:rPr>
        <w:t>RAS and PSA will work with Lincoln District to jointly offer ESL, CTE and High School Completion programs to help meet high demand and fill a gap because these Districts do not participate in the CAEP consortium.</w:t>
      </w:r>
      <w:bookmarkEnd w:id="64"/>
    </w:p>
    <w:p w:rsidR="00670492" w:rsidRPr="00521425" w:rsidRDefault="001429DF">
      <w:pPr>
        <w:pStyle w:val="Heading3"/>
        <w:spacing w:after="200" w:line="276" w:lineRule="auto"/>
        <w:ind w:left="720"/>
        <w:rPr>
          <w:rFonts w:ascii="Arial" w:eastAsia="Calibri" w:hAnsi="Arial" w:cs="Arial"/>
          <w:color w:val="auto"/>
        </w:rPr>
      </w:pPr>
      <w:bookmarkStart w:id="65" w:name="_Toc10017483"/>
      <w:r w:rsidRPr="00521425">
        <w:rPr>
          <w:rFonts w:ascii="Arial" w:eastAsia="Calibri" w:hAnsi="Arial" w:cs="Arial"/>
          <w:color w:val="auto"/>
        </w:rPr>
        <w:t>Activity</w:t>
      </w:r>
      <w:r w:rsidRPr="00521425">
        <w:rPr>
          <w:rFonts w:ascii="Arial" w:eastAsia="Calibri" w:hAnsi="Arial" w:cs="Arial"/>
          <w:b w:val="0"/>
          <w:color w:val="auto"/>
        </w:rPr>
        <w:t>:  Expand inmate education in Nevada and Placer Counties.  NUAE will offer English as a Second Language classes in the Wayne Brown Correctional facility.  PSA will expand CTE programs in existing inmate education program.</w:t>
      </w:r>
      <w:bookmarkEnd w:id="65"/>
    </w:p>
    <w:p w:rsidR="00670492" w:rsidRPr="00521425" w:rsidRDefault="001429DF">
      <w:pPr>
        <w:pStyle w:val="Heading3"/>
        <w:spacing w:after="0" w:line="276" w:lineRule="auto"/>
        <w:rPr>
          <w:rFonts w:ascii="Arial" w:eastAsia="Calibri" w:hAnsi="Arial" w:cs="Arial"/>
          <w:color w:val="auto"/>
        </w:rPr>
      </w:pPr>
      <w:bookmarkStart w:id="66" w:name="_Toc10017484"/>
      <w:r w:rsidRPr="00521425">
        <w:rPr>
          <w:rFonts w:ascii="Arial" w:eastAsia="Calibri" w:hAnsi="Arial" w:cs="Arial"/>
          <w:color w:val="auto"/>
        </w:rPr>
        <w:t>Goal 2:  Continue to expand workforce training in high demand sectors throughout region.</w:t>
      </w:r>
      <w:bookmarkEnd w:id="66"/>
    </w:p>
    <w:p w:rsidR="00670492" w:rsidRPr="00521425" w:rsidRDefault="001429DF">
      <w:pPr>
        <w:pStyle w:val="Heading3"/>
        <w:spacing w:after="0" w:line="276" w:lineRule="auto"/>
        <w:ind w:left="720"/>
        <w:rPr>
          <w:rFonts w:ascii="Arial" w:eastAsia="Calibri" w:hAnsi="Arial" w:cs="Arial"/>
          <w:b w:val="0"/>
          <w:color w:val="auto"/>
        </w:rPr>
      </w:pPr>
      <w:bookmarkStart w:id="67" w:name="_Toc10017485"/>
      <w:r w:rsidRPr="00521425">
        <w:rPr>
          <w:rFonts w:ascii="Arial" w:eastAsia="Calibri" w:hAnsi="Arial" w:cs="Arial"/>
          <w:color w:val="auto"/>
        </w:rPr>
        <w:t>Activity</w:t>
      </w:r>
      <w:r w:rsidRPr="00521425">
        <w:rPr>
          <w:rFonts w:ascii="Arial" w:eastAsia="Calibri" w:hAnsi="Arial" w:cs="Arial"/>
          <w:b w:val="0"/>
          <w:color w:val="auto"/>
        </w:rPr>
        <w:t>:  Explore opportunities to develop upskill and incumbent worker training programs within partner school districts and for regional industry partners.</w:t>
      </w:r>
      <w:bookmarkEnd w:id="67"/>
    </w:p>
    <w:p w:rsidR="00670492" w:rsidRPr="00521425" w:rsidRDefault="001429DF">
      <w:pPr>
        <w:pStyle w:val="Heading3"/>
        <w:spacing w:after="0" w:line="276" w:lineRule="auto"/>
        <w:ind w:left="720"/>
        <w:rPr>
          <w:rFonts w:ascii="Arial" w:eastAsia="Calibri" w:hAnsi="Arial" w:cs="Arial"/>
          <w:color w:val="auto"/>
        </w:rPr>
      </w:pPr>
      <w:bookmarkStart w:id="68" w:name="_Toc10017486"/>
      <w:r w:rsidRPr="00521425">
        <w:rPr>
          <w:rFonts w:ascii="Arial" w:eastAsia="Calibri" w:hAnsi="Arial" w:cs="Arial"/>
          <w:color w:val="auto"/>
        </w:rPr>
        <w:t>Activity</w:t>
      </w:r>
      <w:r w:rsidRPr="00521425">
        <w:rPr>
          <w:rFonts w:ascii="Arial" w:eastAsia="Calibri" w:hAnsi="Arial" w:cs="Arial"/>
          <w:b w:val="0"/>
          <w:color w:val="auto"/>
        </w:rPr>
        <w:t xml:space="preserve">:  Develop partnership and collaboration with K12 Strong Workforce funded programs in our region in order to improve transitions to postsecondary education and workforce in high-need, higher-wage, or high-skill occupations in our region as identified by the </w:t>
      </w:r>
      <w:proofErr w:type="spellStart"/>
      <w:r w:rsidRPr="00521425">
        <w:rPr>
          <w:rFonts w:ascii="Arial" w:eastAsia="Calibri" w:hAnsi="Arial" w:cs="Arial"/>
          <w:b w:val="0"/>
          <w:color w:val="auto"/>
        </w:rPr>
        <w:t>CalAdultEd</w:t>
      </w:r>
      <w:proofErr w:type="spellEnd"/>
      <w:r w:rsidRPr="00521425">
        <w:rPr>
          <w:rFonts w:ascii="Arial" w:eastAsia="Calibri" w:hAnsi="Arial" w:cs="Arial"/>
          <w:b w:val="0"/>
          <w:color w:val="auto"/>
        </w:rPr>
        <w:t xml:space="preserve"> Labor Market Outlook, the COE, or the CDE.</w:t>
      </w:r>
      <w:bookmarkEnd w:id="68"/>
    </w:p>
    <w:p w:rsidR="00670492" w:rsidRPr="00521425" w:rsidRDefault="001429DF">
      <w:pPr>
        <w:pStyle w:val="Heading3"/>
        <w:spacing w:line="276" w:lineRule="auto"/>
        <w:rPr>
          <w:rFonts w:ascii="Arial" w:eastAsia="Calibri" w:hAnsi="Arial" w:cs="Arial"/>
          <w:color w:val="auto"/>
        </w:rPr>
      </w:pPr>
      <w:bookmarkStart w:id="69" w:name="_Toc10017487"/>
      <w:r w:rsidRPr="00521425">
        <w:rPr>
          <w:rFonts w:ascii="Arial" w:eastAsia="Calibri" w:hAnsi="Arial" w:cs="Arial"/>
          <w:color w:val="auto"/>
        </w:rPr>
        <w:t>Goal 3: Improve transitions from adult schools to post-secondary education.</w:t>
      </w:r>
      <w:bookmarkEnd w:id="69"/>
    </w:p>
    <w:p w:rsidR="00670492" w:rsidRPr="00521425" w:rsidRDefault="001429DF">
      <w:pPr>
        <w:pStyle w:val="Heading3"/>
        <w:spacing w:line="276" w:lineRule="auto"/>
        <w:ind w:left="720"/>
        <w:rPr>
          <w:rFonts w:ascii="Arial" w:eastAsia="Calibri" w:hAnsi="Arial" w:cs="Arial"/>
          <w:b w:val="0"/>
          <w:color w:val="auto"/>
          <w:highlight w:val="white"/>
        </w:rPr>
      </w:pPr>
      <w:bookmarkStart w:id="70" w:name="_Toc10017488"/>
      <w:r w:rsidRPr="00521425">
        <w:rPr>
          <w:rFonts w:ascii="Arial" w:eastAsia="Calibri" w:hAnsi="Arial" w:cs="Arial"/>
          <w:color w:val="auto"/>
          <w:highlight w:val="white"/>
        </w:rPr>
        <w:t>Activity:</w:t>
      </w:r>
      <w:r w:rsidRPr="00521425">
        <w:rPr>
          <w:rFonts w:ascii="Arial" w:eastAsia="Calibri" w:hAnsi="Arial" w:cs="Arial"/>
          <w:b w:val="0"/>
          <w:color w:val="auto"/>
          <w:highlight w:val="white"/>
        </w:rPr>
        <w:t xml:space="preserve">  Identify and explore best practices across state and develop plan (may include field trips to Sierra classes, awareness/assistance workshops, counselor education/training, and curriculum articulation opportunities).  Track </w:t>
      </w:r>
      <w:r w:rsidR="00B75B07">
        <w:rPr>
          <w:rFonts w:ascii="Arial" w:eastAsia="Calibri" w:hAnsi="Arial" w:cs="Arial"/>
          <w:b w:val="0"/>
          <w:color w:val="auto"/>
          <w:highlight w:val="white"/>
        </w:rPr>
        <w:t>students using statewide SSID CALPADS</w:t>
      </w:r>
      <w:r w:rsidRPr="00521425">
        <w:rPr>
          <w:rFonts w:ascii="Arial" w:eastAsia="Calibri" w:hAnsi="Arial" w:cs="Arial"/>
          <w:b w:val="0"/>
          <w:color w:val="auto"/>
          <w:highlight w:val="white"/>
        </w:rPr>
        <w:t xml:space="preserve"> to benchmark and monitor transitions to post-secondary.</w:t>
      </w:r>
      <w:bookmarkEnd w:id="70"/>
    </w:p>
    <w:p w:rsidR="00670492" w:rsidRPr="00521425" w:rsidRDefault="001429DF">
      <w:pPr>
        <w:pStyle w:val="Heading3"/>
        <w:spacing w:after="200" w:line="276" w:lineRule="auto"/>
        <w:ind w:left="720"/>
        <w:rPr>
          <w:rFonts w:ascii="Arial" w:eastAsia="Calibri" w:hAnsi="Arial" w:cs="Arial"/>
          <w:b w:val="0"/>
          <w:color w:val="auto"/>
        </w:rPr>
      </w:pPr>
      <w:bookmarkStart w:id="71" w:name="_nsxhem3b5b2" w:colFirst="0" w:colLast="0"/>
      <w:bookmarkStart w:id="72" w:name="_Toc10017489"/>
      <w:bookmarkEnd w:id="71"/>
      <w:r w:rsidRPr="00521425">
        <w:rPr>
          <w:rFonts w:ascii="Arial" w:eastAsia="Calibri" w:hAnsi="Arial" w:cs="Arial"/>
          <w:color w:val="auto"/>
        </w:rPr>
        <w:lastRenderedPageBreak/>
        <w:t>Activity:</w:t>
      </w:r>
      <w:r w:rsidRPr="00521425">
        <w:rPr>
          <w:rFonts w:ascii="Arial" w:eastAsia="Calibri" w:hAnsi="Arial" w:cs="Arial"/>
          <w:b w:val="0"/>
          <w:color w:val="auto"/>
        </w:rPr>
        <w:t xml:space="preserve">  Sierra faculty collaboration with adult school instructors to develop curriculum to assist in successful transition to post-secondary (example may be a focus on transfer level math due to AB705 changes.</w:t>
      </w:r>
      <w:bookmarkEnd w:id="72"/>
    </w:p>
    <w:p w:rsidR="00670492" w:rsidRPr="00521425" w:rsidRDefault="001429DF">
      <w:pPr>
        <w:ind w:left="720"/>
        <w:rPr>
          <w:rFonts w:ascii="Arial" w:eastAsia="Calibri" w:hAnsi="Arial" w:cs="Arial"/>
          <w:color w:val="auto"/>
          <w:sz w:val="24"/>
          <w:szCs w:val="24"/>
        </w:rPr>
      </w:pPr>
      <w:r w:rsidRPr="00521425">
        <w:rPr>
          <w:rFonts w:ascii="Arial" w:eastAsia="Calibri" w:hAnsi="Arial" w:cs="Arial"/>
          <w:b/>
          <w:color w:val="auto"/>
          <w:sz w:val="24"/>
          <w:szCs w:val="24"/>
        </w:rPr>
        <w:t>Activity:</w:t>
      </w:r>
      <w:r w:rsidRPr="00521425">
        <w:rPr>
          <w:rFonts w:ascii="Arial" w:eastAsia="Calibri" w:hAnsi="Arial" w:cs="Arial"/>
          <w:color w:val="auto"/>
          <w:sz w:val="24"/>
          <w:szCs w:val="24"/>
        </w:rPr>
        <w:t xml:space="preserve">  Sierra faculty collaboration with adult school instructors on articulations (formal or informal) and transitions to the college where relevant/applicable (e.g., construction (including jail program), computers/IT, advanced manufacturing and welding, etc.).</w:t>
      </w:r>
    </w:p>
    <w:p w:rsidR="00670492" w:rsidRPr="00521425" w:rsidRDefault="001429DF">
      <w:pPr>
        <w:pStyle w:val="Heading3"/>
        <w:spacing w:after="0" w:line="276" w:lineRule="auto"/>
        <w:rPr>
          <w:rFonts w:ascii="Arial" w:eastAsia="Calibri" w:hAnsi="Arial" w:cs="Arial"/>
          <w:color w:val="auto"/>
        </w:rPr>
      </w:pPr>
      <w:bookmarkStart w:id="73" w:name="_Toc10017490"/>
      <w:r w:rsidRPr="00521425">
        <w:rPr>
          <w:rFonts w:ascii="Arial" w:eastAsia="Calibri" w:hAnsi="Arial" w:cs="Arial"/>
          <w:color w:val="auto"/>
        </w:rPr>
        <w:t>Goal 4:  Identify and address barriers to student success and completion.</w:t>
      </w:r>
      <w:bookmarkEnd w:id="73"/>
    </w:p>
    <w:p w:rsidR="00670492" w:rsidRPr="00521425" w:rsidRDefault="001429DF">
      <w:pPr>
        <w:pStyle w:val="Heading3"/>
        <w:spacing w:after="200" w:line="276" w:lineRule="auto"/>
        <w:ind w:left="720"/>
        <w:rPr>
          <w:rFonts w:ascii="Arial" w:eastAsia="Calibri" w:hAnsi="Arial" w:cs="Arial"/>
          <w:b w:val="0"/>
          <w:color w:val="auto"/>
        </w:rPr>
      </w:pPr>
      <w:bookmarkStart w:id="74" w:name="_Toc10017491"/>
      <w:r w:rsidRPr="00521425">
        <w:rPr>
          <w:rFonts w:ascii="Arial" w:eastAsia="Calibri" w:hAnsi="Arial" w:cs="Arial"/>
          <w:color w:val="auto"/>
        </w:rPr>
        <w:t>Activity:</w:t>
      </w:r>
      <w:r w:rsidRPr="00521425">
        <w:rPr>
          <w:rFonts w:ascii="Arial" w:eastAsia="Calibri" w:hAnsi="Arial" w:cs="Arial"/>
          <w:b w:val="0"/>
          <w:color w:val="auto"/>
        </w:rPr>
        <w:t xml:space="preserve"> Gather and analyze student data and industry data to identify barriers to student success.</w:t>
      </w:r>
      <w:bookmarkEnd w:id="74"/>
    </w:p>
    <w:p w:rsidR="00670492" w:rsidRPr="00521425" w:rsidRDefault="001429DF">
      <w:pPr>
        <w:pStyle w:val="Heading3"/>
        <w:spacing w:after="200" w:line="276" w:lineRule="auto"/>
        <w:ind w:left="720"/>
        <w:rPr>
          <w:rFonts w:ascii="Arial" w:eastAsia="Calibri" w:hAnsi="Arial" w:cs="Arial"/>
          <w:color w:val="auto"/>
        </w:rPr>
      </w:pPr>
      <w:bookmarkStart w:id="75" w:name="_1alwohutwnyh" w:colFirst="0" w:colLast="0"/>
      <w:bookmarkStart w:id="76" w:name="_Toc10017492"/>
      <w:bookmarkEnd w:id="75"/>
      <w:r w:rsidRPr="00521425">
        <w:rPr>
          <w:rFonts w:ascii="Arial" w:eastAsia="Calibri" w:hAnsi="Arial" w:cs="Arial"/>
          <w:color w:val="auto"/>
        </w:rPr>
        <w:t xml:space="preserve">Activity: </w:t>
      </w:r>
      <w:r w:rsidRPr="00521425">
        <w:rPr>
          <w:rFonts w:ascii="Arial" w:eastAsia="Calibri" w:hAnsi="Arial" w:cs="Arial"/>
          <w:b w:val="0"/>
          <w:color w:val="auto"/>
        </w:rPr>
        <w:t>Work with regional resource partners to identify most common barriers preventing our students from completing their educational goals.  Update map of services and resources. Hold planning session to reconnect with partners on this subject. Explore Cal-PASS Plus Data to inform barriers.  Identify best methods for communicating with partners and students.</w:t>
      </w:r>
      <w:bookmarkEnd w:id="76"/>
    </w:p>
    <w:p w:rsidR="00670492" w:rsidRPr="00521425" w:rsidRDefault="001429DF">
      <w:pPr>
        <w:ind w:left="720"/>
        <w:rPr>
          <w:rFonts w:ascii="Arial" w:eastAsia="Calibri" w:hAnsi="Arial" w:cs="Arial"/>
          <w:color w:val="auto"/>
          <w:sz w:val="24"/>
          <w:szCs w:val="24"/>
        </w:rPr>
      </w:pPr>
      <w:r w:rsidRPr="00521425">
        <w:rPr>
          <w:rFonts w:ascii="Arial" w:eastAsia="Calibri" w:hAnsi="Arial" w:cs="Arial"/>
          <w:b/>
          <w:color w:val="auto"/>
          <w:sz w:val="24"/>
          <w:szCs w:val="24"/>
        </w:rPr>
        <w:t>Activity:</w:t>
      </w:r>
      <w:r w:rsidRPr="00521425">
        <w:rPr>
          <w:rFonts w:ascii="Arial" w:eastAsia="Calibri" w:hAnsi="Arial" w:cs="Arial"/>
          <w:color w:val="auto"/>
          <w:sz w:val="24"/>
          <w:szCs w:val="24"/>
        </w:rPr>
        <w:t xml:space="preserve">  Use the data uncovered to create strategies to address and improve student success rates across all programs.</w:t>
      </w:r>
    </w:p>
    <w:p w:rsidR="00670492" w:rsidRDefault="00670492">
      <w:pPr>
        <w:rPr>
          <w:rFonts w:ascii="Calibri" w:eastAsia="Calibri" w:hAnsi="Calibri" w:cs="Calibri"/>
          <w:sz w:val="28"/>
          <w:szCs w:val="28"/>
        </w:rPr>
      </w:pPr>
    </w:p>
    <w:p w:rsidR="00670492" w:rsidRDefault="001429DF">
      <w:pPr>
        <w:pStyle w:val="Heading3"/>
      </w:pPr>
      <w:bookmarkStart w:id="77" w:name="_15dz79qtum7p" w:colFirst="0" w:colLast="0"/>
      <w:bookmarkEnd w:id="77"/>
      <w:r>
        <w:t xml:space="preserve"> </w:t>
      </w:r>
    </w:p>
    <w:p w:rsidR="00670492" w:rsidRDefault="00670492">
      <w:pPr>
        <w:pStyle w:val="Heading3"/>
      </w:pPr>
    </w:p>
    <w:p w:rsidR="001429DF" w:rsidRDefault="001429DF">
      <w:pPr>
        <w:sectPr w:rsidR="001429DF">
          <w:type w:val="continuous"/>
          <w:pgSz w:w="12240" w:h="15840"/>
          <w:pgMar w:top="1739" w:right="1080" w:bottom="1440" w:left="1440" w:header="720" w:footer="720" w:gutter="0"/>
          <w:cols w:space="720"/>
        </w:sectPr>
      </w:pPr>
    </w:p>
    <w:p w:rsidR="001429DF" w:rsidRDefault="001429DF" w:rsidP="001429DF">
      <w:pPr>
        <w:pStyle w:val="Heading3"/>
      </w:pPr>
    </w:p>
    <w:p w:rsidR="006F5BAC" w:rsidRDefault="006F5BAC" w:rsidP="001429DF">
      <w:pPr>
        <w:pStyle w:val="Heading3"/>
        <w:rPr>
          <w:rFonts w:ascii="Arial" w:hAnsi="Arial" w:cs="Arial"/>
          <w:color w:val="000000"/>
        </w:rPr>
      </w:pPr>
      <w:bookmarkStart w:id="78" w:name="_Toc10017493"/>
      <w:r>
        <w:rPr>
          <w:rFonts w:ascii="Arial" w:hAnsi="Arial" w:cs="Arial"/>
        </w:rPr>
        <w:t xml:space="preserve">Figure 1. Logic Model </w:t>
      </w:r>
      <w:r>
        <w:rPr>
          <w:rFonts w:ascii="Arial" w:hAnsi="Arial" w:cs="Arial"/>
        </w:rPr>
        <w:br/>
      </w:r>
    </w:p>
    <w:p w:rsidR="001429DF" w:rsidRDefault="001429DF" w:rsidP="001429DF">
      <w:pPr>
        <w:pStyle w:val="Heading3"/>
      </w:pPr>
      <w:r>
        <w:rPr>
          <w:rFonts w:ascii="Arial" w:hAnsi="Arial" w:cs="Arial"/>
          <w:color w:val="000000"/>
        </w:rPr>
        <w:t>Goal 1: Expand program and course offerings in remote and/or underserved locations within Consortium boundaries to fill gaps and meet customer needs.</w:t>
      </w:r>
      <w:bookmarkEnd w:id="78"/>
    </w:p>
    <w:tbl>
      <w:tblPr>
        <w:tblW w:w="14490" w:type="dxa"/>
        <w:tblInd w:w="-818" w:type="dxa"/>
        <w:tblCellMar>
          <w:top w:w="15" w:type="dxa"/>
          <w:left w:w="15" w:type="dxa"/>
          <w:bottom w:w="15" w:type="dxa"/>
          <w:right w:w="15" w:type="dxa"/>
        </w:tblCellMar>
        <w:tblLook w:val="04A0" w:firstRow="1" w:lastRow="0" w:firstColumn="1" w:lastColumn="0" w:noHBand="0" w:noVBand="1"/>
      </w:tblPr>
      <w:tblGrid>
        <w:gridCol w:w="2735"/>
        <w:gridCol w:w="1855"/>
        <w:gridCol w:w="2709"/>
        <w:gridCol w:w="2197"/>
        <w:gridCol w:w="2284"/>
        <w:gridCol w:w="2710"/>
      </w:tblGrid>
      <w:tr w:rsidR="001429DF" w:rsidTr="001429DF">
        <w:tc>
          <w:tcPr>
            <w:tcW w:w="2735" w:type="dxa"/>
            <w:tcBorders>
              <w:top w:val="single" w:sz="6" w:space="0" w:color="A6A6A6"/>
              <w:left w:val="single" w:sz="6" w:space="0" w:color="A6A6A6"/>
              <w:bottom w:val="single" w:sz="6" w:space="0" w:color="A6A6A6"/>
              <w:right w:val="single" w:sz="6" w:space="0" w:color="A6A6A6"/>
            </w:tcBorders>
            <w:shd w:val="clear" w:color="auto" w:fill="002060"/>
            <w:tcMar>
              <w:top w:w="58" w:type="dxa"/>
              <w:left w:w="58" w:type="dxa"/>
              <w:bottom w:w="58" w:type="dxa"/>
              <w:right w:w="58" w:type="dxa"/>
            </w:tcMar>
            <w:vAlign w:val="center"/>
            <w:hideMark/>
          </w:tcPr>
          <w:p w:rsidR="001429DF" w:rsidRDefault="001429DF">
            <w:pPr>
              <w:pStyle w:val="NormalWeb"/>
              <w:spacing w:before="0" w:beforeAutospacing="0" w:after="0" w:afterAutospacing="0"/>
            </w:pPr>
            <w:r>
              <w:rPr>
                <w:rFonts w:ascii="Calibri" w:hAnsi="Calibri" w:cs="Calibri"/>
                <w:b/>
                <w:bCs/>
                <w:color w:val="FFFFFF"/>
                <w:sz w:val="20"/>
                <w:szCs w:val="20"/>
              </w:rPr>
              <w:t>Inputs</w:t>
            </w:r>
          </w:p>
        </w:tc>
        <w:tc>
          <w:tcPr>
            <w:tcW w:w="1855" w:type="dxa"/>
            <w:tcBorders>
              <w:top w:val="single" w:sz="6" w:space="0" w:color="A6A6A6"/>
              <w:left w:val="single" w:sz="6" w:space="0" w:color="A6A6A6"/>
              <w:bottom w:val="single" w:sz="6" w:space="0" w:color="A6A6A6"/>
              <w:right w:val="single" w:sz="6" w:space="0" w:color="A6A6A6"/>
            </w:tcBorders>
            <w:shd w:val="clear" w:color="auto" w:fill="621E7C"/>
            <w:tcMar>
              <w:top w:w="58" w:type="dxa"/>
              <w:left w:w="58" w:type="dxa"/>
              <w:bottom w:w="58" w:type="dxa"/>
              <w:right w:w="58" w:type="dxa"/>
            </w:tcMar>
            <w:vAlign w:val="center"/>
            <w:hideMark/>
          </w:tcPr>
          <w:p w:rsidR="001429DF" w:rsidRDefault="001429DF">
            <w:pPr>
              <w:pStyle w:val="NormalWeb"/>
              <w:spacing w:before="0" w:beforeAutospacing="0" w:after="0" w:afterAutospacing="0"/>
            </w:pPr>
            <w:r>
              <w:rPr>
                <w:rFonts w:ascii="Calibri" w:hAnsi="Calibri" w:cs="Calibri"/>
                <w:b/>
                <w:bCs/>
                <w:color w:val="FFFFFF"/>
                <w:sz w:val="20"/>
                <w:szCs w:val="20"/>
              </w:rPr>
              <w:t>Activities</w:t>
            </w:r>
          </w:p>
        </w:tc>
        <w:tc>
          <w:tcPr>
            <w:tcW w:w="2709" w:type="dxa"/>
            <w:tcBorders>
              <w:top w:val="single" w:sz="6" w:space="0" w:color="A6A6A6"/>
              <w:left w:val="single" w:sz="6" w:space="0" w:color="A6A6A6"/>
              <w:bottom w:val="single" w:sz="6" w:space="0" w:color="A6A6A6"/>
              <w:right w:val="single" w:sz="6" w:space="0" w:color="A6A6A6"/>
            </w:tcBorders>
            <w:shd w:val="clear" w:color="auto" w:fill="903F6C"/>
            <w:tcMar>
              <w:top w:w="58" w:type="dxa"/>
              <w:left w:w="58" w:type="dxa"/>
              <w:bottom w:w="58" w:type="dxa"/>
              <w:right w:w="58" w:type="dxa"/>
            </w:tcMar>
            <w:vAlign w:val="center"/>
            <w:hideMark/>
          </w:tcPr>
          <w:p w:rsidR="001429DF" w:rsidRDefault="001429DF">
            <w:pPr>
              <w:pStyle w:val="NormalWeb"/>
              <w:spacing w:before="0" w:beforeAutospacing="0" w:after="0" w:afterAutospacing="0"/>
            </w:pPr>
            <w:r>
              <w:rPr>
                <w:rFonts w:ascii="Calibri" w:hAnsi="Calibri" w:cs="Calibri"/>
                <w:b/>
                <w:bCs/>
                <w:color w:val="FFFFFF"/>
                <w:sz w:val="20"/>
                <w:szCs w:val="20"/>
              </w:rPr>
              <w:t>Outputs</w:t>
            </w:r>
          </w:p>
        </w:tc>
        <w:tc>
          <w:tcPr>
            <w:tcW w:w="0" w:type="auto"/>
            <w:tcBorders>
              <w:top w:val="single" w:sz="6" w:space="0" w:color="A6A6A6"/>
              <w:left w:val="single" w:sz="6" w:space="0" w:color="A6A6A6"/>
              <w:bottom w:val="single" w:sz="6" w:space="0" w:color="A6A6A6"/>
              <w:right w:val="single" w:sz="6" w:space="0" w:color="A6A6A6"/>
            </w:tcBorders>
            <w:shd w:val="clear" w:color="auto" w:fill="B76059"/>
            <w:tcMar>
              <w:top w:w="58" w:type="dxa"/>
              <w:left w:w="58" w:type="dxa"/>
              <w:bottom w:w="58" w:type="dxa"/>
              <w:right w:w="58" w:type="dxa"/>
            </w:tcMar>
            <w:vAlign w:val="center"/>
            <w:hideMark/>
          </w:tcPr>
          <w:p w:rsidR="001429DF" w:rsidRDefault="001429DF">
            <w:pPr>
              <w:pStyle w:val="NormalWeb"/>
              <w:spacing w:before="0" w:beforeAutospacing="0" w:after="0" w:afterAutospacing="0"/>
            </w:pPr>
            <w:r>
              <w:rPr>
                <w:rFonts w:ascii="Calibri" w:hAnsi="Calibri" w:cs="Calibri"/>
                <w:b/>
                <w:bCs/>
                <w:color w:val="FFFFFF"/>
                <w:sz w:val="20"/>
                <w:szCs w:val="20"/>
              </w:rPr>
              <w:t>Immediate (Short-Term) Outcomes</w:t>
            </w:r>
          </w:p>
        </w:tc>
        <w:tc>
          <w:tcPr>
            <w:tcW w:w="0" w:type="auto"/>
            <w:tcBorders>
              <w:top w:val="single" w:sz="6" w:space="0" w:color="A6A6A6"/>
              <w:left w:val="single" w:sz="6" w:space="0" w:color="A6A6A6"/>
              <w:bottom w:val="single" w:sz="6" w:space="0" w:color="A6A6A6"/>
              <w:right w:val="single" w:sz="6" w:space="0" w:color="A6A6A6"/>
            </w:tcBorders>
            <w:shd w:val="clear" w:color="auto" w:fill="DB8240"/>
            <w:tcMar>
              <w:top w:w="58" w:type="dxa"/>
              <w:left w:w="58" w:type="dxa"/>
              <w:bottom w:w="58" w:type="dxa"/>
              <w:right w:w="58" w:type="dxa"/>
            </w:tcMar>
            <w:vAlign w:val="center"/>
            <w:hideMark/>
          </w:tcPr>
          <w:p w:rsidR="001429DF" w:rsidRDefault="001429DF">
            <w:pPr>
              <w:pStyle w:val="NormalWeb"/>
              <w:spacing w:before="0" w:beforeAutospacing="0" w:after="0" w:afterAutospacing="0"/>
            </w:pPr>
            <w:r>
              <w:rPr>
                <w:rFonts w:ascii="Calibri" w:hAnsi="Calibri" w:cs="Calibri"/>
                <w:b/>
                <w:bCs/>
                <w:color w:val="FFFFFF"/>
                <w:sz w:val="20"/>
                <w:szCs w:val="20"/>
              </w:rPr>
              <w:t>Intermediate Outcomes</w:t>
            </w:r>
          </w:p>
        </w:tc>
        <w:tc>
          <w:tcPr>
            <w:tcW w:w="2710" w:type="dxa"/>
            <w:tcBorders>
              <w:top w:val="single" w:sz="6" w:space="0" w:color="A6A6A6"/>
              <w:left w:val="single" w:sz="6" w:space="0" w:color="A6A6A6"/>
              <w:bottom w:val="single" w:sz="6" w:space="0" w:color="A6A6A6"/>
              <w:right w:val="single" w:sz="6" w:space="0" w:color="A6A6A6"/>
            </w:tcBorders>
            <w:shd w:val="clear" w:color="auto" w:fill="FFA500"/>
            <w:tcMar>
              <w:top w:w="58" w:type="dxa"/>
              <w:left w:w="58" w:type="dxa"/>
              <w:bottom w:w="58" w:type="dxa"/>
              <w:right w:w="58" w:type="dxa"/>
            </w:tcMar>
            <w:vAlign w:val="center"/>
            <w:hideMark/>
          </w:tcPr>
          <w:p w:rsidR="001429DF" w:rsidRDefault="001429DF">
            <w:pPr>
              <w:pStyle w:val="NormalWeb"/>
              <w:spacing w:before="0" w:beforeAutospacing="0" w:after="0" w:afterAutospacing="0"/>
            </w:pPr>
            <w:r>
              <w:rPr>
                <w:rFonts w:ascii="Calibri" w:hAnsi="Calibri" w:cs="Calibri"/>
                <w:b/>
                <w:bCs/>
                <w:color w:val="FFFFFF"/>
                <w:sz w:val="20"/>
                <w:szCs w:val="20"/>
              </w:rPr>
              <w:t>Long-Term Outcomes / Impact</w:t>
            </w:r>
          </w:p>
        </w:tc>
      </w:tr>
      <w:tr w:rsidR="001429DF" w:rsidTr="001429DF">
        <w:tc>
          <w:tcPr>
            <w:tcW w:w="2735" w:type="dxa"/>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pPr>
            <w:r>
              <w:rPr>
                <w:rFonts w:ascii="Calibri" w:hAnsi="Calibri" w:cs="Calibri"/>
                <w:color w:val="04326C"/>
                <w:sz w:val="20"/>
                <w:szCs w:val="20"/>
              </w:rPr>
              <w:t>In order to accomplish our set of activities we will need the following:</w:t>
            </w:r>
          </w:p>
        </w:tc>
        <w:tc>
          <w:tcPr>
            <w:tcW w:w="1855" w:type="dxa"/>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pPr>
            <w:r>
              <w:rPr>
                <w:rFonts w:ascii="Calibri" w:hAnsi="Calibri" w:cs="Calibri"/>
                <w:color w:val="04326C"/>
                <w:sz w:val="20"/>
                <w:szCs w:val="20"/>
              </w:rPr>
              <w:t>In order to address our problem or asset we will accomplish the following activities:</w:t>
            </w:r>
          </w:p>
        </w:tc>
        <w:tc>
          <w:tcPr>
            <w:tcW w:w="2709" w:type="dxa"/>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pPr>
            <w:r>
              <w:rPr>
                <w:rFonts w:ascii="Calibri" w:hAnsi="Calibri" w:cs="Calibri"/>
                <w:color w:val="04326C"/>
                <w:sz w:val="20"/>
                <w:szCs w:val="20"/>
              </w:rPr>
              <w:t>We expect that once accomplished, these activities will produce the following evidence or service delivery:</w:t>
            </w:r>
          </w:p>
        </w:tc>
        <w:tc>
          <w:tcPr>
            <w:tcW w:w="0" w:type="auto"/>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pPr>
            <w:r>
              <w:rPr>
                <w:rFonts w:ascii="Calibri" w:hAnsi="Calibri" w:cs="Calibri"/>
                <w:color w:val="04326C"/>
                <w:sz w:val="20"/>
                <w:szCs w:val="20"/>
              </w:rPr>
              <w:t>We expect that if accomplished these activities will lead to the following changes in the next year</w:t>
            </w:r>
          </w:p>
        </w:tc>
        <w:tc>
          <w:tcPr>
            <w:tcW w:w="0" w:type="auto"/>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pPr>
            <w:r>
              <w:rPr>
                <w:rFonts w:ascii="Calibri" w:hAnsi="Calibri" w:cs="Calibri"/>
                <w:color w:val="04326C"/>
                <w:sz w:val="20"/>
                <w:szCs w:val="20"/>
              </w:rPr>
              <w:t>We expect that if accomplished these activities will lead to the following changes in 1-3 years</w:t>
            </w:r>
          </w:p>
        </w:tc>
        <w:tc>
          <w:tcPr>
            <w:tcW w:w="2710" w:type="dxa"/>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pPr>
            <w:r>
              <w:rPr>
                <w:rFonts w:ascii="Calibri" w:hAnsi="Calibri" w:cs="Calibri"/>
                <w:color w:val="04326C"/>
                <w:sz w:val="20"/>
                <w:szCs w:val="20"/>
              </w:rPr>
              <w:t>We expect that if accomplished these activities will lead to the following changes in 3-5 years</w:t>
            </w:r>
          </w:p>
        </w:tc>
      </w:tr>
      <w:tr w:rsidR="001429DF" w:rsidTr="001429DF">
        <w:trPr>
          <w:trHeight w:val="4240"/>
        </w:trPr>
        <w:tc>
          <w:tcPr>
            <w:tcW w:w="2735" w:type="dxa"/>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pPr>
            <w:r>
              <w:rPr>
                <w:rFonts w:ascii="Calibri" w:hAnsi="Calibri" w:cs="Calibri"/>
                <w:color w:val="04326C"/>
                <w:sz w:val="20"/>
                <w:szCs w:val="20"/>
              </w:rPr>
              <w:t>1.Assessment of capacity of remote regions.</w:t>
            </w:r>
          </w:p>
          <w:p w:rsidR="001429DF" w:rsidRDefault="001429DF"/>
          <w:p w:rsidR="001429DF" w:rsidRDefault="001429DF">
            <w:pPr>
              <w:pStyle w:val="NormalWeb"/>
              <w:spacing w:before="0" w:beforeAutospacing="0" w:after="0" w:afterAutospacing="0"/>
            </w:pPr>
            <w:r>
              <w:rPr>
                <w:rFonts w:ascii="Calibri" w:hAnsi="Calibri" w:cs="Calibri"/>
                <w:color w:val="04326C"/>
                <w:sz w:val="20"/>
                <w:szCs w:val="20"/>
              </w:rPr>
              <w:t>2. Evidence regarding student needs and industry needs, from local businesses, advisory councils, schools, and social services partners.</w:t>
            </w:r>
          </w:p>
          <w:p w:rsidR="001429DF" w:rsidRDefault="001429DF">
            <w:pPr>
              <w:spacing w:after="240"/>
            </w:pPr>
          </w:p>
          <w:p w:rsidR="001429DF" w:rsidRDefault="001429DF">
            <w:pPr>
              <w:pStyle w:val="NormalWeb"/>
              <w:spacing w:before="0" w:beforeAutospacing="0" w:after="0" w:afterAutospacing="0"/>
            </w:pPr>
            <w:r>
              <w:rPr>
                <w:rFonts w:ascii="Calibri" w:hAnsi="Calibri" w:cs="Calibri"/>
                <w:color w:val="04326C"/>
                <w:sz w:val="20"/>
                <w:szCs w:val="20"/>
              </w:rPr>
              <w:t>3. Lincoln is a region in our consortium area that is under served and lacks ESL, ABE, ASE and CTE programs.</w:t>
            </w:r>
          </w:p>
          <w:p w:rsidR="001429DF" w:rsidRDefault="001429DF"/>
          <w:p w:rsidR="001429DF" w:rsidRDefault="001429DF">
            <w:pPr>
              <w:pStyle w:val="NormalWeb"/>
              <w:spacing w:before="0" w:beforeAutospacing="0" w:after="0" w:afterAutospacing="0"/>
            </w:pPr>
            <w:r>
              <w:rPr>
                <w:rFonts w:ascii="Calibri" w:hAnsi="Calibri" w:cs="Calibri"/>
                <w:color w:val="04326C"/>
                <w:sz w:val="20"/>
                <w:szCs w:val="20"/>
              </w:rPr>
              <w:t>4. Information from Corrections partners about their needs.</w:t>
            </w:r>
          </w:p>
          <w:p w:rsidR="001429DF" w:rsidRDefault="001429DF"/>
        </w:tc>
        <w:tc>
          <w:tcPr>
            <w:tcW w:w="1855" w:type="dxa"/>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pPr>
            <w:r>
              <w:rPr>
                <w:rFonts w:ascii="Calibri" w:hAnsi="Calibri" w:cs="Calibri"/>
                <w:color w:val="04326C"/>
                <w:sz w:val="20"/>
                <w:szCs w:val="20"/>
              </w:rPr>
              <w:t xml:space="preserve">1. Determine </w:t>
            </w:r>
            <w:r w:rsidR="006F5BAC">
              <w:rPr>
                <w:rFonts w:ascii="Calibri" w:hAnsi="Calibri" w:cs="Calibri"/>
                <w:color w:val="04326C"/>
                <w:sz w:val="20"/>
                <w:szCs w:val="20"/>
              </w:rPr>
              <w:t>classes to</w:t>
            </w:r>
            <w:r>
              <w:rPr>
                <w:rFonts w:ascii="Calibri" w:hAnsi="Calibri" w:cs="Calibri"/>
                <w:color w:val="04326C"/>
                <w:sz w:val="20"/>
                <w:szCs w:val="20"/>
              </w:rPr>
              <w:t xml:space="preserve"> stream.</w:t>
            </w:r>
          </w:p>
          <w:p w:rsidR="001429DF" w:rsidRDefault="001429DF"/>
          <w:p w:rsidR="001429DF" w:rsidRDefault="001429DF">
            <w:pPr>
              <w:pStyle w:val="NormalWeb"/>
              <w:spacing w:before="0" w:beforeAutospacing="0" w:after="0" w:afterAutospacing="0"/>
            </w:pPr>
            <w:r>
              <w:rPr>
                <w:rFonts w:ascii="Calibri" w:hAnsi="Calibri" w:cs="Calibri"/>
                <w:color w:val="04326C"/>
                <w:sz w:val="20"/>
                <w:szCs w:val="20"/>
              </w:rPr>
              <w:t>2. Build and staff distance learning classrooms.</w:t>
            </w:r>
          </w:p>
          <w:p w:rsidR="001429DF" w:rsidRDefault="001429DF"/>
          <w:p w:rsidR="001429DF" w:rsidRDefault="001429DF">
            <w:pPr>
              <w:pStyle w:val="NormalWeb"/>
              <w:spacing w:before="0" w:beforeAutospacing="0" w:after="0" w:afterAutospacing="0"/>
            </w:pPr>
            <w:r>
              <w:rPr>
                <w:rFonts w:ascii="Calibri" w:hAnsi="Calibri" w:cs="Calibri"/>
                <w:color w:val="04326C"/>
                <w:sz w:val="20"/>
                <w:szCs w:val="20"/>
              </w:rPr>
              <w:t>3.  Work with Lincoln School District to identify classroom space and schedule courses.</w:t>
            </w:r>
          </w:p>
          <w:p w:rsidR="001429DF" w:rsidRDefault="001429DF"/>
          <w:p w:rsidR="001429DF" w:rsidRDefault="001429DF">
            <w:pPr>
              <w:pStyle w:val="NormalWeb"/>
              <w:spacing w:before="0" w:beforeAutospacing="0" w:after="0" w:afterAutospacing="0"/>
            </w:pPr>
            <w:r>
              <w:rPr>
                <w:rFonts w:ascii="Calibri" w:hAnsi="Calibri" w:cs="Calibri"/>
                <w:color w:val="04326C"/>
                <w:sz w:val="20"/>
                <w:szCs w:val="20"/>
              </w:rPr>
              <w:t xml:space="preserve">4. Pilot classes </w:t>
            </w:r>
          </w:p>
          <w:p w:rsidR="001429DF" w:rsidRDefault="001429DF"/>
          <w:p w:rsidR="001429DF" w:rsidRDefault="001429DF">
            <w:pPr>
              <w:pStyle w:val="NormalWeb"/>
              <w:spacing w:before="0" w:beforeAutospacing="0" w:after="0" w:afterAutospacing="0"/>
            </w:pPr>
            <w:r>
              <w:rPr>
                <w:rFonts w:ascii="Calibri" w:hAnsi="Calibri" w:cs="Calibri"/>
                <w:color w:val="04326C"/>
                <w:sz w:val="20"/>
                <w:szCs w:val="20"/>
              </w:rPr>
              <w:t>5. Determine needs/gaps  in  correctional facilities</w:t>
            </w:r>
          </w:p>
        </w:tc>
        <w:tc>
          <w:tcPr>
            <w:tcW w:w="2709" w:type="dxa"/>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pPr>
            <w:r>
              <w:rPr>
                <w:rFonts w:ascii="Calibri" w:hAnsi="Calibri" w:cs="Calibri"/>
                <w:color w:val="04326C"/>
                <w:sz w:val="20"/>
                <w:szCs w:val="20"/>
              </w:rPr>
              <w:t>1. Utilize/expand streaming/distance learning technology between consortium partners.  </w:t>
            </w:r>
          </w:p>
          <w:p w:rsidR="001429DF" w:rsidRDefault="001429DF"/>
          <w:p w:rsidR="001429DF" w:rsidRDefault="001429DF">
            <w:pPr>
              <w:pStyle w:val="NormalWeb"/>
              <w:spacing w:before="0" w:beforeAutospacing="0" w:after="0" w:afterAutospacing="0"/>
            </w:pPr>
            <w:r>
              <w:rPr>
                <w:rFonts w:ascii="Calibri" w:hAnsi="Calibri" w:cs="Calibri"/>
                <w:color w:val="04326C"/>
                <w:sz w:val="20"/>
                <w:szCs w:val="20"/>
              </w:rPr>
              <w:t>2. ESL/Career, High School Completion education offered in Lincoln via a partnership between RAS and PSA.  </w:t>
            </w:r>
          </w:p>
          <w:p w:rsidR="001429DF" w:rsidRDefault="001429DF"/>
          <w:p w:rsidR="001429DF" w:rsidRDefault="001429DF">
            <w:pPr>
              <w:pStyle w:val="NormalWeb"/>
              <w:spacing w:before="0" w:beforeAutospacing="0" w:after="0" w:afterAutospacing="0"/>
            </w:pPr>
            <w:r>
              <w:rPr>
                <w:rFonts w:ascii="Calibri" w:hAnsi="Calibri" w:cs="Calibri"/>
                <w:color w:val="04326C"/>
                <w:sz w:val="20"/>
                <w:szCs w:val="20"/>
              </w:rPr>
              <w:t>3. Expand inmate education in Nevada and Placer Counties.  NUAE will offer English as a Second Language classes in the Wayne Brown Correctional facility.  PSA will expand CTE programs in existing inmate education program.</w:t>
            </w:r>
          </w:p>
          <w:p w:rsidR="001429DF" w:rsidRDefault="001429DF" w:rsidP="001429DF">
            <w:pPr>
              <w:pStyle w:val="NormalWeb"/>
              <w:spacing w:before="0" w:beforeAutospacing="0" w:after="0" w:afterAutospacing="0"/>
            </w:pPr>
            <w:r>
              <w:rPr>
                <w:rFonts w:ascii="Calibri" w:hAnsi="Calibri" w:cs="Calibri"/>
                <w:color w:val="04326C"/>
                <w:sz w:val="20"/>
                <w:szCs w:val="20"/>
              </w:rPr>
              <w:t> </w:t>
            </w:r>
            <w:r>
              <w:rPr>
                <w:rFonts w:ascii="Calibri" w:hAnsi="Calibri" w:cs="Calibri"/>
                <w:color w:val="04326C"/>
                <w:sz w:val="20"/>
                <w:szCs w:val="20"/>
              </w:rPr>
              <w:t> </w:t>
            </w:r>
          </w:p>
        </w:tc>
        <w:tc>
          <w:tcPr>
            <w:tcW w:w="0" w:type="auto"/>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pPr>
            <w:r>
              <w:rPr>
                <w:rFonts w:ascii="Calibri" w:hAnsi="Calibri" w:cs="Calibri"/>
                <w:color w:val="04326C"/>
                <w:sz w:val="20"/>
                <w:szCs w:val="20"/>
              </w:rPr>
              <w:t>1. Nevada Union Adult Education will offer these classes between the Nevada Union High School location and its new satellite classroom located on the Bear River High School campus.</w:t>
            </w:r>
          </w:p>
          <w:p w:rsidR="001429DF" w:rsidRDefault="001429DF">
            <w:pPr>
              <w:spacing w:after="240"/>
            </w:pPr>
          </w:p>
          <w:p w:rsidR="001429DF" w:rsidRDefault="001429DF">
            <w:pPr>
              <w:pStyle w:val="NormalWeb"/>
              <w:spacing w:before="0" w:beforeAutospacing="0" w:after="0" w:afterAutospacing="0"/>
            </w:pPr>
            <w:r>
              <w:rPr>
                <w:rFonts w:ascii="Calibri" w:hAnsi="Calibri" w:cs="Calibri"/>
                <w:color w:val="04326C"/>
                <w:sz w:val="20"/>
                <w:szCs w:val="20"/>
              </w:rPr>
              <w:t>2. Increased student participation in programs in underserved or remote locations.</w:t>
            </w:r>
          </w:p>
          <w:p w:rsidR="001429DF" w:rsidRDefault="001429DF"/>
          <w:p w:rsidR="001429DF" w:rsidRDefault="001429DF">
            <w:pPr>
              <w:pStyle w:val="NormalWeb"/>
              <w:spacing w:before="0" w:beforeAutospacing="0" w:after="0" w:afterAutospacing="0"/>
            </w:pPr>
            <w:r>
              <w:rPr>
                <w:rFonts w:ascii="Calibri" w:hAnsi="Calibri" w:cs="Calibri"/>
                <w:color w:val="04326C"/>
                <w:sz w:val="20"/>
                <w:szCs w:val="20"/>
              </w:rPr>
              <w:t>3. Expansion of program offerings in corrections settings</w:t>
            </w:r>
          </w:p>
        </w:tc>
        <w:tc>
          <w:tcPr>
            <w:tcW w:w="0" w:type="auto"/>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pPr>
            <w:r>
              <w:rPr>
                <w:rFonts w:ascii="Calibri" w:hAnsi="Calibri" w:cs="Calibri"/>
                <w:color w:val="04326C"/>
                <w:sz w:val="20"/>
                <w:szCs w:val="20"/>
              </w:rPr>
              <w:t xml:space="preserve">1. Learning gains </w:t>
            </w:r>
          </w:p>
          <w:p w:rsidR="001429DF" w:rsidRDefault="001429DF"/>
          <w:p w:rsidR="001429DF" w:rsidRDefault="001429DF">
            <w:pPr>
              <w:pStyle w:val="NormalWeb"/>
              <w:spacing w:before="0" w:beforeAutospacing="0" w:after="0" w:afterAutospacing="0"/>
            </w:pPr>
            <w:r>
              <w:rPr>
                <w:rFonts w:ascii="Calibri" w:hAnsi="Calibri" w:cs="Calibri"/>
                <w:color w:val="04326C"/>
                <w:sz w:val="20"/>
                <w:szCs w:val="20"/>
              </w:rPr>
              <w:t xml:space="preserve">2. CTE training opportunities </w:t>
            </w:r>
          </w:p>
          <w:p w:rsidR="001429DF" w:rsidRDefault="001429DF"/>
          <w:p w:rsidR="001429DF" w:rsidRDefault="001429DF">
            <w:pPr>
              <w:pStyle w:val="NormalWeb"/>
              <w:spacing w:before="0" w:beforeAutospacing="0" w:after="0" w:afterAutospacing="0"/>
            </w:pPr>
            <w:r>
              <w:rPr>
                <w:rFonts w:ascii="Calibri" w:hAnsi="Calibri" w:cs="Calibri"/>
                <w:color w:val="04326C"/>
                <w:sz w:val="20"/>
                <w:szCs w:val="20"/>
              </w:rPr>
              <w:t xml:space="preserve">3. Inmates receive </w:t>
            </w:r>
            <w:r w:rsidR="00F2297A">
              <w:rPr>
                <w:rFonts w:ascii="Calibri" w:hAnsi="Calibri" w:cs="Calibri"/>
                <w:color w:val="04326C"/>
                <w:sz w:val="20"/>
                <w:szCs w:val="20"/>
              </w:rPr>
              <w:t>contextualized</w:t>
            </w:r>
            <w:r>
              <w:rPr>
                <w:rFonts w:ascii="Calibri" w:hAnsi="Calibri" w:cs="Calibri"/>
                <w:color w:val="04326C"/>
                <w:sz w:val="20"/>
                <w:szCs w:val="20"/>
              </w:rPr>
              <w:t xml:space="preserve"> industry recognized  training and certification aligned with HSD and GED completion</w:t>
            </w:r>
          </w:p>
        </w:tc>
        <w:tc>
          <w:tcPr>
            <w:tcW w:w="2710" w:type="dxa"/>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pPr>
            <w:r>
              <w:rPr>
                <w:rFonts w:ascii="Calibri" w:hAnsi="Calibri" w:cs="Calibri"/>
                <w:color w:val="04326C"/>
                <w:sz w:val="20"/>
                <w:szCs w:val="20"/>
              </w:rPr>
              <w:t xml:space="preserve">1.HSD and GED completion </w:t>
            </w:r>
          </w:p>
          <w:p w:rsidR="001429DF" w:rsidRDefault="001429DF"/>
          <w:p w:rsidR="001429DF" w:rsidRDefault="001429DF">
            <w:pPr>
              <w:pStyle w:val="NormalWeb"/>
              <w:spacing w:before="0" w:beforeAutospacing="0" w:after="0" w:afterAutospacing="0"/>
            </w:pPr>
            <w:r>
              <w:rPr>
                <w:rFonts w:ascii="Calibri" w:hAnsi="Calibri" w:cs="Calibri"/>
                <w:color w:val="04326C"/>
                <w:sz w:val="20"/>
                <w:szCs w:val="20"/>
              </w:rPr>
              <w:t xml:space="preserve">2. CTE program completers </w:t>
            </w:r>
          </w:p>
          <w:p w:rsidR="001429DF" w:rsidRDefault="001429DF"/>
          <w:p w:rsidR="001429DF" w:rsidRDefault="001429DF">
            <w:pPr>
              <w:pStyle w:val="NormalWeb"/>
              <w:spacing w:before="0" w:beforeAutospacing="0" w:after="0" w:afterAutospacing="0"/>
            </w:pPr>
            <w:r>
              <w:rPr>
                <w:rFonts w:ascii="Calibri" w:hAnsi="Calibri" w:cs="Calibri"/>
                <w:color w:val="04326C"/>
                <w:sz w:val="20"/>
                <w:szCs w:val="20"/>
              </w:rPr>
              <w:t xml:space="preserve">3. Employment </w:t>
            </w:r>
          </w:p>
          <w:p w:rsidR="001429DF" w:rsidRDefault="001429DF"/>
          <w:p w:rsidR="001429DF" w:rsidRDefault="001429DF">
            <w:pPr>
              <w:pStyle w:val="NormalWeb"/>
              <w:spacing w:before="0" w:beforeAutospacing="0" w:after="0" w:afterAutospacing="0"/>
            </w:pPr>
            <w:r>
              <w:rPr>
                <w:rFonts w:ascii="Calibri" w:hAnsi="Calibri" w:cs="Calibri"/>
                <w:color w:val="04326C"/>
                <w:sz w:val="20"/>
                <w:szCs w:val="20"/>
              </w:rPr>
              <w:t xml:space="preserve">4. Transition to community college or further education. </w:t>
            </w:r>
          </w:p>
        </w:tc>
      </w:tr>
    </w:tbl>
    <w:p w:rsidR="001429DF" w:rsidRDefault="001429DF" w:rsidP="001429DF">
      <w:pPr>
        <w:pStyle w:val="NormalWeb"/>
        <w:spacing w:before="0" w:beforeAutospacing="0" w:after="0" w:afterAutospacing="0"/>
        <w:rPr>
          <w:color w:val="000000"/>
        </w:rPr>
      </w:pPr>
      <w:r>
        <w:rPr>
          <w:color w:val="000000"/>
        </w:rPr>
        <w:lastRenderedPageBreak/>
        <w:t xml:space="preserve"> </w:t>
      </w:r>
    </w:p>
    <w:p w:rsidR="00F2297A" w:rsidRDefault="00F2297A" w:rsidP="001429DF">
      <w:pPr>
        <w:pStyle w:val="NormalWeb"/>
        <w:spacing w:before="0" w:beforeAutospacing="0" w:after="0" w:afterAutospacing="0"/>
        <w:rPr>
          <w:color w:val="000000"/>
        </w:rPr>
      </w:pPr>
    </w:p>
    <w:p w:rsidR="00F2297A" w:rsidRDefault="00F2297A" w:rsidP="001429DF">
      <w:pPr>
        <w:pStyle w:val="NormalWeb"/>
        <w:spacing w:before="0" w:beforeAutospacing="0" w:after="0" w:afterAutospacing="0"/>
        <w:rPr>
          <w:color w:val="000000"/>
        </w:rPr>
      </w:pPr>
    </w:p>
    <w:p w:rsidR="00F2297A" w:rsidRDefault="00F2297A" w:rsidP="001429DF">
      <w:pPr>
        <w:pStyle w:val="NormalWeb"/>
        <w:spacing w:before="0" w:beforeAutospacing="0" w:after="0" w:afterAutospacing="0"/>
      </w:pPr>
    </w:p>
    <w:tbl>
      <w:tblPr>
        <w:tblW w:w="13670" w:type="dxa"/>
        <w:tblCellMar>
          <w:top w:w="15" w:type="dxa"/>
          <w:left w:w="15" w:type="dxa"/>
          <w:bottom w:w="15" w:type="dxa"/>
          <w:right w:w="15" w:type="dxa"/>
        </w:tblCellMar>
        <w:tblLook w:val="04A0" w:firstRow="1" w:lastRow="0" w:firstColumn="1" w:lastColumn="0" w:noHBand="0" w:noVBand="1"/>
      </w:tblPr>
      <w:tblGrid>
        <w:gridCol w:w="6470"/>
        <w:gridCol w:w="7200"/>
      </w:tblGrid>
      <w:tr w:rsidR="001429DF" w:rsidTr="00F2297A">
        <w:trPr>
          <w:trHeight w:val="300"/>
        </w:trPr>
        <w:tc>
          <w:tcPr>
            <w:tcW w:w="6470" w:type="dxa"/>
            <w:tcBorders>
              <w:top w:val="single" w:sz="8" w:space="0" w:color="A6A6A6"/>
              <w:left w:val="single" w:sz="8" w:space="0" w:color="A6A6A6"/>
              <w:bottom w:val="single" w:sz="8" w:space="0" w:color="A6A6A6"/>
              <w:right w:val="single" w:sz="8" w:space="0" w:color="A6A6A6"/>
            </w:tcBorders>
            <w:shd w:val="clear" w:color="auto" w:fill="808080"/>
            <w:tcMar>
              <w:top w:w="60" w:type="dxa"/>
              <w:left w:w="60" w:type="dxa"/>
              <w:bottom w:w="60" w:type="dxa"/>
              <w:right w:w="60" w:type="dxa"/>
            </w:tcMar>
            <w:hideMark/>
          </w:tcPr>
          <w:p w:rsidR="001429DF" w:rsidRDefault="001429DF">
            <w:pPr>
              <w:pStyle w:val="NormalWeb"/>
              <w:spacing w:before="0" w:beforeAutospacing="0" w:after="0" w:afterAutospacing="0"/>
              <w:jc w:val="center"/>
            </w:pPr>
            <w:r>
              <w:rPr>
                <w:rFonts w:ascii="Arial" w:hAnsi="Arial" w:cs="Arial"/>
                <w:b/>
                <w:bCs/>
                <w:color w:val="FFFFFF"/>
                <w:sz w:val="18"/>
                <w:szCs w:val="18"/>
              </w:rPr>
              <w:t>Assumptions</w:t>
            </w:r>
          </w:p>
        </w:tc>
        <w:tc>
          <w:tcPr>
            <w:tcW w:w="7200" w:type="dxa"/>
            <w:tcBorders>
              <w:top w:val="single" w:sz="8" w:space="0" w:color="A6A6A6"/>
              <w:left w:val="single" w:sz="8" w:space="0" w:color="A6A6A6"/>
              <w:bottom w:val="single" w:sz="8" w:space="0" w:color="A6A6A6"/>
              <w:right w:val="single" w:sz="8" w:space="0" w:color="A6A6A6"/>
            </w:tcBorders>
            <w:shd w:val="clear" w:color="auto" w:fill="808080"/>
            <w:tcMar>
              <w:top w:w="60" w:type="dxa"/>
              <w:left w:w="60" w:type="dxa"/>
              <w:bottom w:w="60" w:type="dxa"/>
              <w:right w:w="60" w:type="dxa"/>
            </w:tcMar>
            <w:hideMark/>
          </w:tcPr>
          <w:p w:rsidR="001429DF" w:rsidRDefault="001429DF">
            <w:pPr>
              <w:pStyle w:val="NormalWeb"/>
              <w:spacing w:before="0" w:beforeAutospacing="0" w:after="0" w:afterAutospacing="0"/>
              <w:jc w:val="center"/>
            </w:pPr>
            <w:r>
              <w:rPr>
                <w:rFonts w:ascii="Arial" w:hAnsi="Arial" w:cs="Arial"/>
                <w:b/>
                <w:bCs/>
                <w:color w:val="FFFFFF"/>
                <w:sz w:val="18"/>
                <w:szCs w:val="18"/>
              </w:rPr>
              <w:t>External Factors</w:t>
            </w:r>
          </w:p>
        </w:tc>
      </w:tr>
      <w:tr w:rsidR="00F2297A" w:rsidTr="00F2297A">
        <w:trPr>
          <w:trHeight w:val="1270"/>
        </w:trPr>
        <w:tc>
          <w:tcPr>
            <w:tcW w:w="6470" w:type="dxa"/>
            <w:tcBorders>
              <w:top w:val="single" w:sz="8" w:space="0" w:color="A6A6A6"/>
              <w:left w:val="single" w:sz="8" w:space="0" w:color="A6A6A6"/>
              <w:bottom w:val="single" w:sz="8" w:space="0" w:color="A6A6A6"/>
              <w:right w:val="single" w:sz="8" w:space="0" w:color="A6A6A6"/>
            </w:tcBorders>
            <w:tcMar>
              <w:top w:w="60" w:type="dxa"/>
              <w:left w:w="60" w:type="dxa"/>
              <w:bottom w:w="60" w:type="dxa"/>
              <w:right w:w="60" w:type="dxa"/>
            </w:tcMar>
            <w:hideMark/>
          </w:tcPr>
          <w:p w:rsidR="00F2297A" w:rsidRDefault="00F2297A" w:rsidP="00F2297A">
            <w:pPr>
              <w:pStyle w:val="NormalWeb"/>
              <w:numPr>
                <w:ilvl w:val="0"/>
                <w:numId w:val="4"/>
              </w:numPr>
              <w:spacing w:before="0" w:beforeAutospacing="0" w:after="0" w:afterAutospacing="0"/>
              <w:textAlignment w:val="baseline"/>
              <w:rPr>
                <w:rFonts w:ascii="Calibri" w:hAnsi="Calibri" w:cs="Calibri"/>
                <w:color w:val="04326C"/>
                <w:sz w:val="20"/>
                <w:szCs w:val="20"/>
              </w:rPr>
            </w:pPr>
            <w:r>
              <w:rPr>
                <w:rFonts w:ascii="Calibri" w:hAnsi="Calibri" w:cs="Calibri"/>
                <w:color w:val="04326C"/>
                <w:sz w:val="20"/>
                <w:szCs w:val="20"/>
              </w:rPr>
              <w:t>Adult education students have unique barriers and require specialized supports.</w:t>
            </w:r>
            <w:r>
              <w:rPr>
                <w:rFonts w:ascii="Calibri" w:hAnsi="Calibri" w:cs="Calibri"/>
                <w:color w:val="04326C"/>
                <w:sz w:val="20"/>
                <w:szCs w:val="20"/>
              </w:rPr>
              <w:t> </w:t>
            </w:r>
            <w:r>
              <w:rPr>
                <w:rFonts w:ascii="Calibri" w:hAnsi="Calibri" w:cs="Calibri"/>
                <w:color w:val="04326C"/>
                <w:sz w:val="20"/>
                <w:szCs w:val="20"/>
              </w:rPr>
              <w:t> </w:t>
            </w:r>
            <w:r>
              <w:rPr>
                <w:rFonts w:ascii="Calibri" w:hAnsi="Calibri" w:cs="Calibri"/>
                <w:color w:val="04326C"/>
                <w:sz w:val="20"/>
                <w:szCs w:val="20"/>
              </w:rPr>
              <w:t> </w:t>
            </w:r>
            <w:r>
              <w:rPr>
                <w:rFonts w:ascii="Calibri" w:hAnsi="Calibri" w:cs="Calibri"/>
                <w:color w:val="04326C"/>
                <w:sz w:val="20"/>
                <w:szCs w:val="20"/>
              </w:rPr>
              <w:t> </w:t>
            </w:r>
          </w:p>
          <w:p w:rsidR="00F2297A" w:rsidRPr="00F2297A" w:rsidRDefault="00F2297A" w:rsidP="00F2297A">
            <w:pPr>
              <w:pStyle w:val="NormalWeb"/>
              <w:numPr>
                <w:ilvl w:val="0"/>
                <w:numId w:val="4"/>
              </w:numPr>
              <w:spacing w:before="0" w:beforeAutospacing="0" w:after="0" w:afterAutospacing="0"/>
              <w:textAlignment w:val="baseline"/>
            </w:pPr>
            <w:r>
              <w:rPr>
                <w:rFonts w:ascii="Calibri" w:hAnsi="Calibri" w:cs="Calibri"/>
                <w:color w:val="04326C"/>
                <w:sz w:val="20"/>
                <w:szCs w:val="20"/>
              </w:rPr>
              <w:t xml:space="preserve">The needs of the students in remote </w:t>
            </w:r>
            <w:r w:rsidR="00521425">
              <w:rPr>
                <w:rFonts w:ascii="Calibri" w:hAnsi="Calibri" w:cs="Calibri"/>
                <w:color w:val="04326C"/>
                <w:sz w:val="20"/>
                <w:szCs w:val="20"/>
              </w:rPr>
              <w:t xml:space="preserve">and underserved </w:t>
            </w:r>
            <w:r>
              <w:rPr>
                <w:rFonts w:ascii="Calibri" w:hAnsi="Calibri" w:cs="Calibri"/>
                <w:color w:val="04326C"/>
                <w:sz w:val="20"/>
                <w:szCs w:val="20"/>
              </w:rPr>
              <w:t xml:space="preserve">areas will remain. </w:t>
            </w:r>
          </w:p>
          <w:p w:rsidR="00521425" w:rsidRPr="00521425" w:rsidRDefault="00F2297A" w:rsidP="00F2297A">
            <w:pPr>
              <w:pStyle w:val="NormalWeb"/>
              <w:numPr>
                <w:ilvl w:val="0"/>
                <w:numId w:val="4"/>
              </w:numPr>
              <w:spacing w:before="0" w:beforeAutospacing="0" w:after="0" w:afterAutospacing="0"/>
              <w:textAlignment w:val="baseline"/>
            </w:pPr>
            <w:r>
              <w:rPr>
                <w:rFonts w:ascii="Calibri" w:hAnsi="Calibri" w:cs="Calibri"/>
                <w:color w:val="04326C"/>
                <w:sz w:val="20"/>
                <w:szCs w:val="20"/>
              </w:rPr>
              <w:t xml:space="preserve">Students have career and/or educational goals </w:t>
            </w:r>
            <w:r>
              <w:rPr>
                <w:rFonts w:ascii="Arial" w:hAnsi="Arial" w:cs="Arial"/>
                <w:color w:val="04326C"/>
                <w:sz w:val="20"/>
                <w:szCs w:val="20"/>
              </w:rPr>
              <w:t> </w:t>
            </w:r>
          </w:p>
          <w:p w:rsidR="00F2297A" w:rsidRDefault="00521425" w:rsidP="00521425">
            <w:pPr>
              <w:pStyle w:val="NormalWeb"/>
              <w:numPr>
                <w:ilvl w:val="0"/>
                <w:numId w:val="4"/>
              </w:numPr>
              <w:spacing w:before="0" w:beforeAutospacing="0" w:after="0" w:afterAutospacing="0"/>
              <w:textAlignment w:val="baseline"/>
            </w:pPr>
            <w:r>
              <w:rPr>
                <w:rFonts w:ascii="Calibri" w:hAnsi="Calibri" w:cs="Calibri"/>
                <w:color w:val="04326C"/>
                <w:sz w:val="20"/>
                <w:szCs w:val="20"/>
              </w:rPr>
              <w:t xml:space="preserve">Expanding distant learning technology will help us reach unserved areas </w:t>
            </w:r>
            <w:r w:rsidR="00F2297A">
              <w:rPr>
                <w:rFonts w:ascii="Arial" w:hAnsi="Arial" w:cs="Arial"/>
                <w:color w:val="04326C"/>
                <w:sz w:val="20"/>
                <w:szCs w:val="20"/>
              </w:rPr>
              <w:t> </w:t>
            </w:r>
            <w:r w:rsidR="00F2297A">
              <w:rPr>
                <w:rFonts w:ascii="Arial" w:hAnsi="Arial" w:cs="Arial"/>
                <w:color w:val="04326C"/>
                <w:sz w:val="20"/>
                <w:szCs w:val="20"/>
              </w:rPr>
              <w:t> </w:t>
            </w:r>
            <w:r w:rsidR="00F2297A">
              <w:rPr>
                <w:rFonts w:ascii="Arial" w:hAnsi="Arial" w:cs="Arial"/>
                <w:color w:val="04326C"/>
                <w:sz w:val="20"/>
                <w:szCs w:val="20"/>
              </w:rPr>
              <w:t> </w:t>
            </w:r>
            <w:r w:rsidR="00F2297A">
              <w:rPr>
                <w:rFonts w:ascii="Arial" w:hAnsi="Arial" w:cs="Arial"/>
                <w:color w:val="04326C"/>
                <w:sz w:val="20"/>
                <w:szCs w:val="20"/>
              </w:rPr>
              <w:t> </w:t>
            </w:r>
          </w:p>
        </w:tc>
        <w:tc>
          <w:tcPr>
            <w:tcW w:w="7200" w:type="dxa"/>
            <w:tcBorders>
              <w:top w:val="single" w:sz="8" w:space="0" w:color="A6A6A6"/>
              <w:left w:val="single" w:sz="8" w:space="0" w:color="A6A6A6"/>
              <w:bottom w:val="single" w:sz="8" w:space="0" w:color="A6A6A6"/>
              <w:right w:val="single" w:sz="8" w:space="0" w:color="A6A6A6"/>
            </w:tcBorders>
            <w:tcMar>
              <w:top w:w="60" w:type="dxa"/>
              <w:left w:w="60" w:type="dxa"/>
              <w:bottom w:w="60" w:type="dxa"/>
              <w:right w:w="60" w:type="dxa"/>
            </w:tcMar>
            <w:hideMark/>
          </w:tcPr>
          <w:p w:rsidR="00521425" w:rsidRDefault="00521425" w:rsidP="00F2297A">
            <w:pPr>
              <w:pStyle w:val="NormalWeb"/>
              <w:numPr>
                <w:ilvl w:val="0"/>
                <w:numId w:val="5"/>
              </w:numPr>
              <w:spacing w:before="0" w:beforeAutospacing="0" w:after="0" w:afterAutospacing="0"/>
              <w:textAlignment w:val="baseline"/>
              <w:rPr>
                <w:rFonts w:ascii="Calibri" w:hAnsi="Calibri" w:cs="Calibri"/>
                <w:color w:val="04326C"/>
                <w:sz w:val="20"/>
                <w:szCs w:val="20"/>
              </w:rPr>
            </w:pPr>
            <w:r>
              <w:rPr>
                <w:rFonts w:ascii="Calibri" w:hAnsi="Calibri" w:cs="Calibri"/>
                <w:color w:val="04326C"/>
                <w:sz w:val="20"/>
                <w:szCs w:val="20"/>
              </w:rPr>
              <w:t xml:space="preserve">We are trying to expand in new areas without increased funding. </w:t>
            </w:r>
          </w:p>
          <w:p w:rsidR="00F2297A" w:rsidRDefault="00F2297A" w:rsidP="00F2297A">
            <w:pPr>
              <w:pStyle w:val="NormalWeb"/>
              <w:numPr>
                <w:ilvl w:val="0"/>
                <w:numId w:val="5"/>
              </w:numPr>
              <w:spacing w:before="0" w:beforeAutospacing="0" w:after="0" w:afterAutospacing="0"/>
              <w:textAlignment w:val="baseline"/>
              <w:rPr>
                <w:rFonts w:ascii="Calibri" w:hAnsi="Calibri" w:cs="Calibri"/>
                <w:color w:val="04326C"/>
                <w:sz w:val="20"/>
                <w:szCs w:val="20"/>
              </w:rPr>
            </w:pPr>
            <w:r>
              <w:rPr>
                <w:rFonts w:ascii="Calibri" w:hAnsi="Calibri" w:cs="Calibri"/>
                <w:color w:val="04326C"/>
                <w:sz w:val="20"/>
                <w:szCs w:val="20"/>
              </w:rPr>
              <w:t>Economy, unemployment rate, state funding.</w:t>
            </w:r>
          </w:p>
        </w:tc>
      </w:tr>
    </w:tbl>
    <w:p w:rsidR="001429DF" w:rsidRPr="006F5BAC" w:rsidRDefault="001429DF" w:rsidP="001429DF">
      <w:pPr>
        <w:spacing w:after="240"/>
        <w:rPr>
          <w:sz w:val="24"/>
          <w:szCs w:val="24"/>
        </w:rPr>
      </w:pPr>
      <w:r>
        <w:br/>
      </w:r>
      <w:r>
        <w:rPr>
          <w:rFonts w:ascii="Arial" w:hAnsi="Arial" w:cs="Arial"/>
          <w:color w:val="000000"/>
        </w:rPr>
        <w:t xml:space="preserve"> </w:t>
      </w:r>
      <w:r w:rsidRPr="006F5BAC">
        <w:rPr>
          <w:rFonts w:ascii="Arial" w:hAnsi="Arial" w:cs="Arial"/>
          <w:b/>
          <w:bCs/>
          <w:color w:val="000000"/>
          <w:sz w:val="24"/>
          <w:szCs w:val="24"/>
        </w:rPr>
        <w:t>Goal 2:  Continue to expand workforce training in high demand sectors throughout region.</w:t>
      </w:r>
    </w:p>
    <w:tbl>
      <w:tblPr>
        <w:tblW w:w="14490" w:type="dxa"/>
        <w:tblInd w:w="-458" w:type="dxa"/>
        <w:tblCellMar>
          <w:top w:w="15" w:type="dxa"/>
          <w:left w:w="15" w:type="dxa"/>
          <w:bottom w:w="15" w:type="dxa"/>
          <w:right w:w="15" w:type="dxa"/>
        </w:tblCellMar>
        <w:tblLook w:val="04A0" w:firstRow="1" w:lastRow="0" w:firstColumn="1" w:lastColumn="0" w:noHBand="0" w:noVBand="1"/>
      </w:tblPr>
      <w:tblGrid>
        <w:gridCol w:w="2502"/>
        <w:gridCol w:w="2628"/>
        <w:gridCol w:w="2286"/>
        <w:gridCol w:w="2124"/>
        <w:gridCol w:w="2340"/>
        <w:gridCol w:w="2610"/>
      </w:tblGrid>
      <w:tr w:rsidR="001429DF" w:rsidTr="001429DF">
        <w:tc>
          <w:tcPr>
            <w:tcW w:w="2502" w:type="dxa"/>
            <w:tcBorders>
              <w:top w:val="single" w:sz="6" w:space="0" w:color="A6A6A6"/>
              <w:left w:val="single" w:sz="6" w:space="0" w:color="A6A6A6"/>
              <w:bottom w:val="single" w:sz="6" w:space="0" w:color="A6A6A6"/>
              <w:right w:val="single" w:sz="6" w:space="0" w:color="A6A6A6"/>
            </w:tcBorders>
            <w:shd w:val="clear" w:color="auto" w:fill="002060"/>
            <w:tcMar>
              <w:top w:w="58" w:type="dxa"/>
              <w:left w:w="58" w:type="dxa"/>
              <w:bottom w:w="58" w:type="dxa"/>
              <w:right w:w="58" w:type="dxa"/>
            </w:tcMar>
            <w:vAlign w:val="center"/>
            <w:hideMark/>
          </w:tcPr>
          <w:p w:rsidR="001429DF" w:rsidRDefault="001429DF">
            <w:pPr>
              <w:pStyle w:val="NormalWeb"/>
              <w:spacing w:before="0" w:beforeAutospacing="0" w:after="0" w:afterAutospacing="0"/>
              <w:jc w:val="center"/>
            </w:pPr>
            <w:r>
              <w:rPr>
                <w:rFonts w:ascii="Arial" w:hAnsi="Arial" w:cs="Arial"/>
                <w:b/>
                <w:bCs/>
                <w:color w:val="FFFFFF"/>
                <w:sz w:val="18"/>
                <w:szCs w:val="18"/>
              </w:rPr>
              <w:t>Inputs</w:t>
            </w:r>
          </w:p>
        </w:tc>
        <w:tc>
          <w:tcPr>
            <w:tcW w:w="2628" w:type="dxa"/>
            <w:tcBorders>
              <w:top w:val="single" w:sz="6" w:space="0" w:color="A6A6A6"/>
              <w:left w:val="single" w:sz="6" w:space="0" w:color="A6A6A6"/>
              <w:bottom w:val="single" w:sz="6" w:space="0" w:color="A6A6A6"/>
              <w:right w:val="single" w:sz="6" w:space="0" w:color="A6A6A6"/>
            </w:tcBorders>
            <w:shd w:val="clear" w:color="auto" w:fill="621E7C"/>
            <w:tcMar>
              <w:top w:w="58" w:type="dxa"/>
              <w:left w:w="58" w:type="dxa"/>
              <w:bottom w:w="58" w:type="dxa"/>
              <w:right w:w="58" w:type="dxa"/>
            </w:tcMar>
            <w:vAlign w:val="center"/>
            <w:hideMark/>
          </w:tcPr>
          <w:p w:rsidR="001429DF" w:rsidRDefault="001429DF">
            <w:pPr>
              <w:pStyle w:val="NormalWeb"/>
              <w:spacing w:before="0" w:beforeAutospacing="0" w:after="0" w:afterAutospacing="0"/>
              <w:jc w:val="center"/>
            </w:pPr>
            <w:r>
              <w:rPr>
                <w:rFonts w:ascii="Arial" w:hAnsi="Arial" w:cs="Arial"/>
                <w:b/>
                <w:bCs/>
                <w:color w:val="FFFFFF"/>
                <w:sz w:val="18"/>
                <w:szCs w:val="18"/>
              </w:rPr>
              <w:t>Activities</w:t>
            </w:r>
          </w:p>
        </w:tc>
        <w:tc>
          <w:tcPr>
            <w:tcW w:w="2286" w:type="dxa"/>
            <w:tcBorders>
              <w:top w:val="single" w:sz="6" w:space="0" w:color="A6A6A6"/>
              <w:left w:val="single" w:sz="6" w:space="0" w:color="A6A6A6"/>
              <w:bottom w:val="single" w:sz="6" w:space="0" w:color="A6A6A6"/>
              <w:right w:val="single" w:sz="6" w:space="0" w:color="A6A6A6"/>
            </w:tcBorders>
            <w:shd w:val="clear" w:color="auto" w:fill="903F6C"/>
            <w:tcMar>
              <w:top w:w="58" w:type="dxa"/>
              <w:left w:w="58" w:type="dxa"/>
              <w:bottom w:w="58" w:type="dxa"/>
              <w:right w:w="58" w:type="dxa"/>
            </w:tcMar>
            <w:vAlign w:val="center"/>
            <w:hideMark/>
          </w:tcPr>
          <w:p w:rsidR="001429DF" w:rsidRDefault="001429DF">
            <w:pPr>
              <w:pStyle w:val="NormalWeb"/>
              <w:spacing w:before="0" w:beforeAutospacing="0" w:after="0" w:afterAutospacing="0"/>
              <w:jc w:val="center"/>
            </w:pPr>
            <w:r>
              <w:rPr>
                <w:rFonts w:ascii="Arial" w:hAnsi="Arial" w:cs="Arial"/>
                <w:b/>
                <w:bCs/>
                <w:color w:val="FFFFFF"/>
                <w:sz w:val="18"/>
                <w:szCs w:val="18"/>
              </w:rPr>
              <w:t>Outputs</w:t>
            </w:r>
          </w:p>
        </w:tc>
        <w:tc>
          <w:tcPr>
            <w:tcW w:w="2124" w:type="dxa"/>
            <w:tcBorders>
              <w:top w:val="single" w:sz="6" w:space="0" w:color="A6A6A6"/>
              <w:left w:val="single" w:sz="6" w:space="0" w:color="A6A6A6"/>
              <w:bottom w:val="single" w:sz="6" w:space="0" w:color="A6A6A6"/>
              <w:right w:val="single" w:sz="6" w:space="0" w:color="A6A6A6"/>
            </w:tcBorders>
            <w:shd w:val="clear" w:color="auto" w:fill="B76059"/>
            <w:tcMar>
              <w:top w:w="58" w:type="dxa"/>
              <w:left w:w="58" w:type="dxa"/>
              <w:bottom w:w="58" w:type="dxa"/>
              <w:right w:w="58" w:type="dxa"/>
            </w:tcMar>
            <w:vAlign w:val="center"/>
            <w:hideMark/>
          </w:tcPr>
          <w:p w:rsidR="001429DF" w:rsidRDefault="001429DF">
            <w:pPr>
              <w:pStyle w:val="NormalWeb"/>
              <w:spacing w:before="0" w:beforeAutospacing="0" w:after="0" w:afterAutospacing="0"/>
              <w:jc w:val="center"/>
            </w:pPr>
            <w:r>
              <w:rPr>
                <w:rFonts w:ascii="Arial" w:hAnsi="Arial" w:cs="Arial"/>
                <w:b/>
                <w:bCs/>
                <w:color w:val="FFFFFF"/>
                <w:sz w:val="18"/>
                <w:szCs w:val="18"/>
              </w:rPr>
              <w:t>Immediate (Short-Term) Outcomes</w:t>
            </w:r>
          </w:p>
        </w:tc>
        <w:tc>
          <w:tcPr>
            <w:tcW w:w="2340" w:type="dxa"/>
            <w:tcBorders>
              <w:top w:val="single" w:sz="6" w:space="0" w:color="A6A6A6"/>
              <w:left w:val="single" w:sz="6" w:space="0" w:color="A6A6A6"/>
              <w:bottom w:val="single" w:sz="6" w:space="0" w:color="A6A6A6"/>
              <w:right w:val="single" w:sz="6" w:space="0" w:color="A6A6A6"/>
            </w:tcBorders>
            <w:shd w:val="clear" w:color="auto" w:fill="DB8240"/>
            <w:tcMar>
              <w:top w:w="58" w:type="dxa"/>
              <w:left w:w="58" w:type="dxa"/>
              <w:bottom w:w="58" w:type="dxa"/>
              <w:right w:w="58" w:type="dxa"/>
            </w:tcMar>
            <w:vAlign w:val="center"/>
            <w:hideMark/>
          </w:tcPr>
          <w:p w:rsidR="001429DF" w:rsidRDefault="001429DF">
            <w:pPr>
              <w:pStyle w:val="NormalWeb"/>
              <w:spacing w:before="0" w:beforeAutospacing="0" w:after="0" w:afterAutospacing="0"/>
              <w:jc w:val="center"/>
            </w:pPr>
            <w:r>
              <w:rPr>
                <w:rFonts w:ascii="Arial" w:hAnsi="Arial" w:cs="Arial"/>
                <w:b/>
                <w:bCs/>
                <w:color w:val="FFFFFF"/>
                <w:sz w:val="18"/>
                <w:szCs w:val="18"/>
              </w:rPr>
              <w:t>Intermediate Outcomes</w:t>
            </w:r>
          </w:p>
        </w:tc>
        <w:tc>
          <w:tcPr>
            <w:tcW w:w="2610" w:type="dxa"/>
            <w:tcBorders>
              <w:top w:val="single" w:sz="6" w:space="0" w:color="A6A6A6"/>
              <w:left w:val="single" w:sz="6" w:space="0" w:color="A6A6A6"/>
              <w:bottom w:val="single" w:sz="6" w:space="0" w:color="A6A6A6"/>
              <w:right w:val="single" w:sz="6" w:space="0" w:color="A6A6A6"/>
            </w:tcBorders>
            <w:shd w:val="clear" w:color="auto" w:fill="FFA500"/>
            <w:tcMar>
              <w:top w:w="58" w:type="dxa"/>
              <w:left w:w="58" w:type="dxa"/>
              <w:bottom w:w="58" w:type="dxa"/>
              <w:right w:w="58" w:type="dxa"/>
            </w:tcMar>
            <w:vAlign w:val="center"/>
            <w:hideMark/>
          </w:tcPr>
          <w:p w:rsidR="001429DF" w:rsidRDefault="001429DF">
            <w:pPr>
              <w:pStyle w:val="NormalWeb"/>
              <w:spacing w:before="0" w:beforeAutospacing="0" w:after="0" w:afterAutospacing="0"/>
              <w:jc w:val="center"/>
            </w:pPr>
            <w:r>
              <w:rPr>
                <w:rFonts w:ascii="Arial" w:hAnsi="Arial" w:cs="Arial"/>
                <w:b/>
                <w:bCs/>
                <w:color w:val="FFFFFF"/>
                <w:sz w:val="18"/>
                <w:szCs w:val="18"/>
              </w:rPr>
              <w:t>Long-Term Outcomes / Impact</w:t>
            </w:r>
          </w:p>
        </w:tc>
      </w:tr>
      <w:tr w:rsidR="001429DF" w:rsidTr="001429DF">
        <w:trPr>
          <w:trHeight w:val="180"/>
        </w:trPr>
        <w:tc>
          <w:tcPr>
            <w:tcW w:w="2502" w:type="dxa"/>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jc w:val="center"/>
            </w:pPr>
            <w:r>
              <w:rPr>
                <w:rFonts w:ascii="Avenir" w:hAnsi="Avenir"/>
                <w:i/>
                <w:iCs/>
                <w:color w:val="757171"/>
                <w:sz w:val="20"/>
                <w:szCs w:val="20"/>
              </w:rPr>
              <w:t>In order to accomplish our set of activities we will need the following:</w:t>
            </w:r>
          </w:p>
        </w:tc>
        <w:tc>
          <w:tcPr>
            <w:tcW w:w="2628" w:type="dxa"/>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jc w:val="center"/>
            </w:pPr>
            <w:r>
              <w:rPr>
                <w:rFonts w:ascii="Avenir" w:hAnsi="Avenir"/>
                <w:i/>
                <w:iCs/>
                <w:color w:val="757171"/>
                <w:sz w:val="20"/>
                <w:szCs w:val="20"/>
              </w:rPr>
              <w:t>In order to address our problem or asset we will accomplish the following activities:</w:t>
            </w:r>
          </w:p>
        </w:tc>
        <w:tc>
          <w:tcPr>
            <w:tcW w:w="2286" w:type="dxa"/>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jc w:val="center"/>
            </w:pPr>
            <w:r>
              <w:rPr>
                <w:rFonts w:ascii="Avenir" w:hAnsi="Avenir"/>
                <w:i/>
                <w:iCs/>
                <w:color w:val="757171"/>
                <w:sz w:val="20"/>
                <w:szCs w:val="20"/>
              </w:rPr>
              <w:t>We expect that once accomplished, these activities will produce the following evidence or service delivery:</w:t>
            </w:r>
          </w:p>
        </w:tc>
        <w:tc>
          <w:tcPr>
            <w:tcW w:w="2124" w:type="dxa"/>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jc w:val="center"/>
            </w:pPr>
            <w:r>
              <w:rPr>
                <w:rFonts w:ascii="Avenir" w:hAnsi="Avenir"/>
                <w:i/>
                <w:iCs/>
                <w:color w:val="757171"/>
                <w:sz w:val="20"/>
                <w:szCs w:val="20"/>
              </w:rPr>
              <w:t>We expect that if accomplished these activities will lead to the following changes in the next year</w:t>
            </w:r>
          </w:p>
        </w:tc>
        <w:tc>
          <w:tcPr>
            <w:tcW w:w="2340" w:type="dxa"/>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jc w:val="center"/>
            </w:pPr>
            <w:r>
              <w:rPr>
                <w:rFonts w:ascii="Avenir" w:hAnsi="Avenir"/>
                <w:i/>
                <w:iCs/>
                <w:color w:val="757171"/>
                <w:sz w:val="20"/>
                <w:szCs w:val="20"/>
              </w:rPr>
              <w:t>We expect that if accomplished these activities will lead to the following changes in 1-3 years</w:t>
            </w:r>
          </w:p>
        </w:tc>
        <w:tc>
          <w:tcPr>
            <w:tcW w:w="2610" w:type="dxa"/>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jc w:val="center"/>
            </w:pPr>
            <w:r>
              <w:rPr>
                <w:rFonts w:ascii="Avenir" w:hAnsi="Avenir"/>
                <w:i/>
                <w:iCs/>
                <w:color w:val="757171"/>
                <w:sz w:val="20"/>
                <w:szCs w:val="20"/>
              </w:rPr>
              <w:t>We expect that if accomplished these activities will lead to the following changes in 3-5 years</w:t>
            </w:r>
          </w:p>
        </w:tc>
      </w:tr>
      <w:tr w:rsidR="001429DF" w:rsidTr="006F5BAC">
        <w:trPr>
          <w:trHeight w:val="2312"/>
        </w:trPr>
        <w:tc>
          <w:tcPr>
            <w:tcW w:w="2502" w:type="dxa"/>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pPr>
            <w:r>
              <w:rPr>
                <w:rFonts w:ascii="Calibri" w:hAnsi="Calibri" w:cs="Calibri"/>
                <w:color w:val="04326C"/>
                <w:sz w:val="20"/>
                <w:szCs w:val="20"/>
              </w:rPr>
              <w:t>1. Data from regional workforce development boards indicating high demand sectors and skill gaps</w:t>
            </w:r>
          </w:p>
          <w:p w:rsidR="001429DF" w:rsidRDefault="001429DF"/>
          <w:p w:rsidR="001429DF" w:rsidRDefault="001429DF">
            <w:pPr>
              <w:pStyle w:val="NormalWeb"/>
              <w:spacing w:before="0" w:beforeAutospacing="0" w:after="0" w:afterAutospacing="0"/>
            </w:pPr>
            <w:r>
              <w:rPr>
                <w:rFonts w:ascii="Calibri" w:hAnsi="Calibri" w:cs="Calibri"/>
                <w:color w:val="04326C"/>
                <w:sz w:val="20"/>
                <w:szCs w:val="20"/>
              </w:rPr>
              <w:t>2. Information from industry partners about workforce needs/demand.</w:t>
            </w:r>
          </w:p>
        </w:tc>
        <w:tc>
          <w:tcPr>
            <w:tcW w:w="2628" w:type="dxa"/>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pPr>
            <w:r>
              <w:rPr>
                <w:rFonts w:ascii="Calibri" w:hAnsi="Calibri" w:cs="Calibri"/>
                <w:color w:val="04326C"/>
                <w:sz w:val="20"/>
                <w:szCs w:val="20"/>
              </w:rPr>
              <w:t>1. Analyze data (inputs) and explore opportunities to develop upskill and incumbent worker training programs within partner school districts and for regional industry partners.</w:t>
            </w:r>
          </w:p>
          <w:p w:rsidR="001429DF" w:rsidRDefault="001429DF">
            <w:pPr>
              <w:pStyle w:val="NormalWeb"/>
              <w:spacing w:before="0" w:beforeAutospacing="0" w:after="0" w:afterAutospacing="0"/>
              <w:rPr>
                <w:rFonts w:ascii="Calibri" w:hAnsi="Calibri" w:cs="Calibri"/>
                <w:color w:val="04326C"/>
                <w:sz w:val="20"/>
                <w:szCs w:val="20"/>
              </w:rPr>
            </w:pPr>
          </w:p>
          <w:p w:rsidR="001429DF" w:rsidRDefault="001429DF">
            <w:pPr>
              <w:pStyle w:val="NormalWeb"/>
              <w:spacing w:before="0" w:beforeAutospacing="0" w:after="0" w:afterAutospacing="0"/>
            </w:pPr>
            <w:r>
              <w:rPr>
                <w:rFonts w:ascii="Calibri" w:hAnsi="Calibri" w:cs="Calibri"/>
                <w:color w:val="04326C"/>
                <w:sz w:val="20"/>
                <w:szCs w:val="20"/>
              </w:rPr>
              <w:t xml:space="preserve">2. Develop partnership and collaboration in our region  in order to improve transitions to postsecondary education and workforce in high-need, </w:t>
            </w:r>
            <w:r>
              <w:rPr>
                <w:rFonts w:ascii="Calibri" w:hAnsi="Calibri" w:cs="Calibri"/>
                <w:color w:val="04326C"/>
                <w:sz w:val="20"/>
                <w:szCs w:val="20"/>
              </w:rPr>
              <w:lastRenderedPageBreak/>
              <w:t>higher-wage, or high-skill occupations.</w:t>
            </w:r>
            <w:r>
              <w:rPr>
                <w:rFonts w:ascii="Calibri" w:hAnsi="Calibri" w:cs="Calibri"/>
                <w:color w:val="04326C"/>
                <w:sz w:val="20"/>
                <w:szCs w:val="20"/>
              </w:rPr>
              <w:t> </w:t>
            </w:r>
          </w:p>
          <w:p w:rsidR="001429DF" w:rsidRDefault="001429DF"/>
          <w:p w:rsidR="001429DF" w:rsidRDefault="001429DF">
            <w:pPr>
              <w:pStyle w:val="NormalWeb"/>
              <w:spacing w:before="0" w:beforeAutospacing="0" w:after="0" w:afterAutospacing="0"/>
            </w:pPr>
            <w:r>
              <w:rPr>
                <w:rFonts w:ascii="Calibri" w:hAnsi="Calibri" w:cs="Calibri"/>
                <w:color w:val="04326C"/>
                <w:sz w:val="20"/>
                <w:szCs w:val="20"/>
              </w:rPr>
              <w:t>3. Collect baseline data on student participation in workforce training programs, work-based learning (internships, job shadows, etc…) and student transition in to aligned degree/ certification/ certificate programs</w:t>
            </w:r>
          </w:p>
          <w:p w:rsidR="001429DF" w:rsidRDefault="001429DF">
            <w:pPr>
              <w:pStyle w:val="NormalWeb"/>
              <w:spacing w:before="0" w:beforeAutospacing="0" w:after="0" w:afterAutospacing="0"/>
            </w:pPr>
            <w:r>
              <w:rPr>
                <w:rFonts w:ascii="Calibri" w:hAnsi="Calibri" w:cs="Calibri"/>
                <w:color w:val="04326C"/>
                <w:sz w:val="20"/>
                <w:szCs w:val="20"/>
              </w:rPr>
              <w:t> </w:t>
            </w:r>
          </w:p>
        </w:tc>
        <w:tc>
          <w:tcPr>
            <w:tcW w:w="2286" w:type="dxa"/>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pPr>
            <w:r>
              <w:rPr>
                <w:rFonts w:ascii="Calibri" w:hAnsi="Calibri" w:cs="Calibri"/>
                <w:color w:val="04326C"/>
                <w:sz w:val="20"/>
                <w:szCs w:val="20"/>
              </w:rPr>
              <w:lastRenderedPageBreak/>
              <w:t>1. Develop new pathways and programs that expand workforce training in high demand sectors throughout our region</w:t>
            </w:r>
            <w:r>
              <w:rPr>
                <w:rFonts w:ascii="Calibri" w:hAnsi="Calibri" w:cs="Calibri"/>
                <w:color w:val="04326C"/>
                <w:sz w:val="20"/>
                <w:szCs w:val="20"/>
              </w:rPr>
              <w:t> </w:t>
            </w:r>
            <w:r>
              <w:rPr>
                <w:rFonts w:ascii="Calibri" w:hAnsi="Calibri" w:cs="Calibri"/>
                <w:color w:val="04326C"/>
                <w:sz w:val="20"/>
                <w:szCs w:val="20"/>
              </w:rPr>
              <w:t> </w:t>
            </w:r>
            <w:r>
              <w:rPr>
                <w:rFonts w:ascii="Calibri" w:hAnsi="Calibri" w:cs="Calibri"/>
                <w:color w:val="04326C"/>
                <w:sz w:val="20"/>
                <w:szCs w:val="20"/>
              </w:rPr>
              <w:t> </w:t>
            </w:r>
            <w:r>
              <w:rPr>
                <w:rFonts w:ascii="Calibri" w:hAnsi="Calibri" w:cs="Calibri"/>
                <w:color w:val="04326C"/>
                <w:sz w:val="20"/>
                <w:szCs w:val="20"/>
              </w:rPr>
              <w:t> </w:t>
            </w:r>
          </w:p>
        </w:tc>
        <w:tc>
          <w:tcPr>
            <w:tcW w:w="2124" w:type="dxa"/>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pPr>
            <w:r>
              <w:rPr>
                <w:rFonts w:ascii="Calibri" w:hAnsi="Calibri" w:cs="Calibri"/>
                <w:color w:val="04326C"/>
                <w:sz w:val="20"/>
                <w:szCs w:val="20"/>
              </w:rPr>
              <w:t>1. Increased student participation in workforce training programs.</w:t>
            </w:r>
          </w:p>
          <w:p w:rsidR="001429DF" w:rsidRDefault="001429DF">
            <w:pPr>
              <w:spacing w:after="240"/>
            </w:pPr>
          </w:p>
        </w:tc>
        <w:tc>
          <w:tcPr>
            <w:tcW w:w="2340" w:type="dxa"/>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pPr>
            <w:r>
              <w:rPr>
                <w:rFonts w:ascii="Calibri" w:hAnsi="Calibri" w:cs="Calibri"/>
                <w:color w:val="04326C"/>
                <w:sz w:val="20"/>
                <w:szCs w:val="20"/>
              </w:rPr>
              <w:t>1. Increased student participation in workforce training programs</w:t>
            </w:r>
          </w:p>
          <w:p w:rsidR="001429DF" w:rsidRDefault="001429DF"/>
          <w:p w:rsidR="001429DF" w:rsidRDefault="001429DF">
            <w:pPr>
              <w:pStyle w:val="NormalWeb"/>
              <w:spacing w:before="0" w:beforeAutospacing="0" w:after="0" w:afterAutospacing="0"/>
            </w:pPr>
            <w:r>
              <w:rPr>
                <w:rFonts w:ascii="Calibri" w:hAnsi="Calibri" w:cs="Calibri"/>
                <w:color w:val="04326C"/>
                <w:sz w:val="20"/>
                <w:szCs w:val="20"/>
              </w:rPr>
              <w:t xml:space="preserve">2. Increased work-based learning (internships, job shadows, etc…) opportunities </w:t>
            </w:r>
            <w:r>
              <w:rPr>
                <w:rFonts w:ascii="Calibri" w:hAnsi="Calibri" w:cs="Calibri"/>
                <w:color w:val="04326C"/>
                <w:sz w:val="20"/>
                <w:szCs w:val="20"/>
              </w:rPr>
              <w:t> </w:t>
            </w:r>
          </w:p>
          <w:p w:rsidR="001429DF" w:rsidRDefault="001429DF"/>
          <w:p w:rsidR="001429DF" w:rsidRDefault="001429DF">
            <w:pPr>
              <w:pStyle w:val="NormalWeb"/>
              <w:spacing w:before="0" w:beforeAutospacing="0" w:after="0" w:afterAutospacing="0"/>
            </w:pPr>
            <w:r>
              <w:rPr>
                <w:rFonts w:ascii="Calibri" w:hAnsi="Calibri" w:cs="Calibri"/>
                <w:color w:val="04326C"/>
                <w:sz w:val="20"/>
                <w:szCs w:val="20"/>
              </w:rPr>
              <w:t xml:space="preserve">3. Increased student transition in to aligned </w:t>
            </w:r>
            <w:r>
              <w:rPr>
                <w:rFonts w:ascii="Calibri" w:hAnsi="Calibri" w:cs="Calibri"/>
                <w:color w:val="04326C"/>
                <w:sz w:val="20"/>
                <w:szCs w:val="20"/>
              </w:rPr>
              <w:lastRenderedPageBreak/>
              <w:t>degree/ certification/ certificate programs</w:t>
            </w:r>
          </w:p>
        </w:tc>
        <w:tc>
          <w:tcPr>
            <w:tcW w:w="2610" w:type="dxa"/>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pPr>
              <w:pStyle w:val="NormalWeb"/>
              <w:spacing w:before="0" w:beforeAutospacing="0" w:after="0" w:afterAutospacing="0"/>
            </w:pPr>
            <w:r>
              <w:rPr>
                <w:rFonts w:ascii="Calibri" w:hAnsi="Calibri" w:cs="Calibri"/>
                <w:color w:val="04326C"/>
                <w:sz w:val="20"/>
                <w:szCs w:val="20"/>
              </w:rPr>
              <w:lastRenderedPageBreak/>
              <w:t>1. Students gain employment in high demand sectors and/or transition to post-secondary career training programs.</w:t>
            </w:r>
            <w:r>
              <w:rPr>
                <w:rFonts w:ascii="Calibri" w:hAnsi="Calibri" w:cs="Calibri"/>
                <w:color w:val="04326C"/>
                <w:sz w:val="20"/>
                <w:szCs w:val="20"/>
              </w:rPr>
              <w:t> </w:t>
            </w:r>
          </w:p>
        </w:tc>
      </w:tr>
    </w:tbl>
    <w:p w:rsidR="001429DF" w:rsidRDefault="001429DF" w:rsidP="001429DF">
      <w:pPr>
        <w:pStyle w:val="NormalWeb"/>
        <w:spacing w:before="0" w:beforeAutospacing="0" w:after="0" w:afterAutospacing="0"/>
        <w:rPr>
          <w:color w:val="000000"/>
        </w:rPr>
      </w:pPr>
      <w:r>
        <w:rPr>
          <w:color w:val="000000"/>
        </w:rPr>
        <w:lastRenderedPageBreak/>
        <w:t xml:space="preserve"> </w:t>
      </w:r>
    </w:p>
    <w:tbl>
      <w:tblPr>
        <w:tblW w:w="13400" w:type="dxa"/>
        <w:tblCellMar>
          <w:top w:w="15" w:type="dxa"/>
          <w:left w:w="15" w:type="dxa"/>
          <w:bottom w:w="15" w:type="dxa"/>
          <w:right w:w="15" w:type="dxa"/>
        </w:tblCellMar>
        <w:tblLook w:val="04A0" w:firstRow="1" w:lastRow="0" w:firstColumn="1" w:lastColumn="0" w:noHBand="0" w:noVBand="1"/>
      </w:tblPr>
      <w:tblGrid>
        <w:gridCol w:w="6920"/>
        <w:gridCol w:w="6480"/>
      </w:tblGrid>
      <w:tr w:rsidR="001429DF" w:rsidTr="001429DF">
        <w:trPr>
          <w:trHeight w:val="300"/>
        </w:trPr>
        <w:tc>
          <w:tcPr>
            <w:tcW w:w="6920" w:type="dxa"/>
            <w:tcBorders>
              <w:top w:val="single" w:sz="8" w:space="0" w:color="A6A6A6"/>
              <w:left w:val="single" w:sz="8" w:space="0" w:color="A6A6A6"/>
              <w:bottom w:val="single" w:sz="8" w:space="0" w:color="A6A6A6"/>
              <w:right w:val="single" w:sz="8" w:space="0" w:color="A6A6A6"/>
            </w:tcBorders>
            <w:shd w:val="clear" w:color="auto" w:fill="808080"/>
            <w:tcMar>
              <w:top w:w="60" w:type="dxa"/>
              <w:left w:w="60" w:type="dxa"/>
              <w:bottom w:w="60" w:type="dxa"/>
              <w:right w:w="60" w:type="dxa"/>
            </w:tcMar>
            <w:hideMark/>
          </w:tcPr>
          <w:p w:rsidR="001429DF" w:rsidRDefault="001429DF">
            <w:pPr>
              <w:pStyle w:val="NormalWeb"/>
              <w:spacing w:before="0" w:beforeAutospacing="0" w:after="0" w:afterAutospacing="0"/>
              <w:jc w:val="center"/>
            </w:pPr>
            <w:r>
              <w:rPr>
                <w:rFonts w:ascii="Arial" w:hAnsi="Arial" w:cs="Arial"/>
                <w:b/>
                <w:bCs/>
                <w:color w:val="FFFFFF"/>
                <w:sz w:val="18"/>
                <w:szCs w:val="18"/>
              </w:rPr>
              <w:t>Assumptions</w:t>
            </w:r>
          </w:p>
        </w:tc>
        <w:tc>
          <w:tcPr>
            <w:tcW w:w="6480" w:type="dxa"/>
            <w:tcBorders>
              <w:top w:val="single" w:sz="8" w:space="0" w:color="A6A6A6"/>
              <w:left w:val="single" w:sz="8" w:space="0" w:color="A6A6A6"/>
              <w:bottom w:val="single" w:sz="8" w:space="0" w:color="A6A6A6"/>
              <w:right w:val="single" w:sz="8" w:space="0" w:color="A6A6A6"/>
            </w:tcBorders>
            <w:shd w:val="clear" w:color="auto" w:fill="808080"/>
            <w:tcMar>
              <w:top w:w="60" w:type="dxa"/>
              <w:left w:w="60" w:type="dxa"/>
              <w:bottom w:w="60" w:type="dxa"/>
              <w:right w:w="60" w:type="dxa"/>
            </w:tcMar>
            <w:hideMark/>
          </w:tcPr>
          <w:p w:rsidR="001429DF" w:rsidRDefault="001429DF">
            <w:pPr>
              <w:pStyle w:val="NormalWeb"/>
              <w:spacing w:before="0" w:beforeAutospacing="0" w:after="0" w:afterAutospacing="0"/>
              <w:jc w:val="center"/>
            </w:pPr>
            <w:r>
              <w:rPr>
                <w:rFonts w:ascii="Arial" w:hAnsi="Arial" w:cs="Arial"/>
                <w:b/>
                <w:bCs/>
                <w:color w:val="FFFFFF"/>
                <w:sz w:val="18"/>
                <w:szCs w:val="18"/>
              </w:rPr>
              <w:t>External Factors</w:t>
            </w:r>
          </w:p>
        </w:tc>
      </w:tr>
      <w:tr w:rsidR="00F2297A" w:rsidTr="006F5BAC">
        <w:trPr>
          <w:trHeight w:val="811"/>
        </w:trPr>
        <w:tc>
          <w:tcPr>
            <w:tcW w:w="6920" w:type="dxa"/>
            <w:tcBorders>
              <w:top w:val="single" w:sz="8" w:space="0" w:color="A6A6A6"/>
              <w:left w:val="single" w:sz="8" w:space="0" w:color="A6A6A6"/>
              <w:bottom w:val="single" w:sz="8" w:space="0" w:color="A6A6A6"/>
              <w:right w:val="single" w:sz="8" w:space="0" w:color="A6A6A6"/>
            </w:tcBorders>
            <w:tcMar>
              <w:top w:w="60" w:type="dxa"/>
              <w:left w:w="60" w:type="dxa"/>
              <w:bottom w:w="60" w:type="dxa"/>
              <w:right w:w="60" w:type="dxa"/>
            </w:tcMar>
            <w:hideMark/>
          </w:tcPr>
          <w:p w:rsidR="00F2297A" w:rsidRDefault="00F2297A" w:rsidP="00F2297A">
            <w:pPr>
              <w:pStyle w:val="NormalWeb"/>
              <w:numPr>
                <w:ilvl w:val="0"/>
                <w:numId w:val="4"/>
              </w:numPr>
              <w:spacing w:before="0" w:beforeAutospacing="0" w:after="0" w:afterAutospacing="0"/>
              <w:textAlignment w:val="baseline"/>
              <w:rPr>
                <w:rFonts w:ascii="Calibri" w:hAnsi="Calibri" w:cs="Calibri"/>
                <w:color w:val="04326C"/>
                <w:sz w:val="20"/>
                <w:szCs w:val="20"/>
              </w:rPr>
            </w:pPr>
            <w:r>
              <w:rPr>
                <w:rFonts w:ascii="Calibri" w:hAnsi="Calibri" w:cs="Calibri"/>
                <w:color w:val="04326C"/>
                <w:sz w:val="20"/>
                <w:szCs w:val="20"/>
              </w:rPr>
              <w:t>Industry and postsecondary will be willing to collaborate</w:t>
            </w:r>
            <w:r w:rsidR="00521425">
              <w:rPr>
                <w:rFonts w:ascii="Calibri" w:hAnsi="Calibri" w:cs="Calibri"/>
                <w:color w:val="04326C"/>
                <w:sz w:val="20"/>
                <w:szCs w:val="20"/>
              </w:rPr>
              <w:t>.</w:t>
            </w:r>
          </w:p>
          <w:p w:rsidR="00F2297A" w:rsidRPr="00F2297A" w:rsidRDefault="00F2297A" w:rsidP="00F2297A">
            <w:pPr>
              <w:pStyle w:val="NormalWeb"/>
              <w:numPr>
                <w:ilvl w:val="0"/>
                <w:numId w:val="4"/>
              </w:numPr>
              <w:spacing w:before="0" w:beforeAutospacing="0" w:after="0" w:afterAutospacing="0"/>
              <w:textAlignment w:val="baseline"/>
            </w:pPr>
            <w:r>
              <w:rPr>
                <w:rFonts w:ascii="Calibri" w:hAnsi="Calibri" w:cs="Calibri"/>
                <w:color w:val="04326C"/>
                <w:sz w:val="20"/>
                <w:szCs w:val="20"/>
              </w:rPr>
              <w:t>Stable funding.</w:t>
            </w:r>
            <w:r>
              <w:rPr>
                <w:rFonts w:ascii="Calibri" w:hAnsi="Calibri" w:cs="Calibri"/>
                <w:color w:val="04326C"/>
                <w:sz w:val="20"/>
                <w:szCs w:val="20"/>
              </w:rPr>
              <w:t xml:space="preserve"> </w:t>
            </w:r>
          </w:p>
          <w:p w:rsidR="00F2297A" w:rsidRDefault="00F2297A" w:rsidP="006F5BAC">
            <w:pPr>
              <w:pStyle w:val="NormalWeb"/>
              <w:numPr>
                <w:ilvl w:val="0"/>
                <w:numId w:val="4"/>
              </w:numPr>
              <w:spacing w:before="0" w:beforeAutospacing="0" w:after="0" w:afterAutospacing="0"/>
              <w:textAlignment w:val="baseline"/>
            </w:pPr>
            <w:r>
              <w:rPr>
                <w:rFonts w:ascii="Calibri" w:hAnsi="Calibri" w:cs="Calibri"/>
                <w:color w:val="04326C"/>
                <w:sz w:val="20"/>
                <w:szCs w:val="20"/>
              </w:rPr>
              <w:t>Students have career and/or educational goals</w:t>
            </w:r>
            <w:r>
              <w:rPr>
                <w:rFonts w:ascii="Arial" w:hAnsi="Arial" w:cs="Arial"/>
                <w:color w:val="04326C"/>
                <w:sz w:val="20"/>
                <w:szCs w:val="20"/>
              </w:rPr>
              <w:t xml:space="preserve">. </w:t>
            </w:r>
            <w:r>
              <w:rPr>
                <w:rFonts w:ascii="Arial" w:hAnsi="Arial" w:cs="Arial"/>
                <w:color w:val="04326C"/>
                <w:sz w:val="20"/>
                <w:szCs w:val="20"/>
              </w:rPr>
              <w:t> </w:t>
            </w:r>
            <w:r>
              <w:rPr>
                <w:rFonts w:ascii="Arial" w:hAnsi="Arial" w:cs="Arial"/>
                <w:color w:val="04326C"/>
                <w:sz w:val="20"/>
                <w:szCs w:val="20"/>
              </w:rPr>
              <w:t> </w:t>
            </w:r>
          </w:p>
        </w:tc>
        <w:tc>
          <w:tcPr>
            <w:tcW w:w="6480" w:type="dxa"/>
            <w:tcBorders>
              <w:top w:val="single" w:sz="8" w:space="0" w:color="A6A6A6"/>
              <w:left w:val="single" w:sz="8" w:space="0" w:color="A6A6A6"/>
              <w:bottom w:val="single" w:sz="8" w:space="0" w:color="A6A6A6"/>
              <w:right w:val="single" w:sz="8" w:space="0" w:color="A6A6A6"/>
            </w:tcBorders>
            <w:tcMar>
              <w:top w:w="60" w:type="dxa"/>
              <w:left w:w="60" w:type="dxa"/>
              <w:bottom w:w="60" w:type="dxa"/>
              <w:right w:w="60" w:type="dxa"/>
            </w:tcMar>
            <w:hideMark/>
          </w:tcPr>
          <w:p w:rsidR="00F2297A" w:rsidRDefault="00F2297A" w:rsidP="00F2297A">
            <w:pPr>
              <w:pStyle w:val="NormalWeb"/>
              <w:numPr>
                <w:ilvl w:val="0"/>
                <w:numId w:val="5"/>
              </w:numPr>
              <w:spacing w:before="0" w:beforeAutospacing="0" w:after="0" w:afterAutospacing="0"/>
              <w:textAlignment w:val="baseline"/>
              <w:rPr>
                <w:rFonts w:ascii="Calibri" w:hAnsi="Calibri" w:cs="Calibri"/>
                <w:color w:val="04326C"/>
                <w:sz w:val="20"/>
                <w:szCs w:val="20"/>
              </w:rPr>
            </w:pPr>
            <w:r>
              <w:rPr>
                <w:rFonts w:ascii="Calibri" w:hAnsi="Calibri" w:cs="Calibri"/>
                <w:color w:val="04326C"/>
                <w:sz w:val="20"/>
                <w:szCs w:val="20"/>
              </w:rPr>
              <w:t>Economy, unemployment rate, state funding.</w:t>
            </w:r>
          </w:p>
          <w:p w:rsidR="00521425" w:rsidRDefault="00521425" w:rsidP="00F2297A">
            <w:pPr>
              <w:pStyle w:val="NormalWeb"/>
              <w:numPr>
                <w:ilvl w:val="0"/>
                <w:numId w:val="5"/>
              </w:numPr>
              <w:spacing w:before="0" w:beforeAutospacing="0" w:after="0" w:afterAutospacing="0"/>
              <w:textAlignment w:val="baseline"/>
              <w:rPr>
                <w:rFonts w:ascii="Calibri" w:hAnsi="Calibri" w:cs="Calibri"/>
                <w:color w:val="04326C"/>
                <w:sz w:val="20"/>
                <w:szCs w:val="20"/>
              </w:rPr>
            </w:pPr>
            <w:r>
              <w:rPr>
                <w:rFonts w:ascii="Calibri" w:hAnsi="Calibri" w:cs="Calibri"/>
                <w:color w:val="04326C"/>
                <w:sz w:val="20"/>
                <w:szCs w:val="20"/>
              </w:rPr>
              <w:t>Industry needs in the region.</w:t>
            </w:r>
            <w:r w:rsidR="006F5BAC">
              <w:rPr>
                <w:rFonts w:ascii="Calibri" w:hAnsi="Calibri" w:cs="Calibri"/>
                <w:color w:val="04326C"/>
                <w:sz w:val="20"/>
                <w:szCs w:val="20"/>
              </w:rPr>
              <w:t xml:space="preserve"> </w:t>
            </w:r>
          </w:p>
        </w:tc>
      </w:tr>
    </w:tbl>
    <w:p w:rsidR="001429DF" w:rsidRDefault="001429DF" w:rsidP="001429DF">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 xml:space="preserve"> </w:t>
      </w:r>
    </w:p>
    <w:p w:rsidR="001429DF" w:rsidRPr="006F5BAC" w:rsidRDefault="001429DF" w:rsidP="001429DF">
      <w:pPr>
        <w:pStyle w:val="NormalWeb"/>
        <w:spacing w:before="0" w:beforeAutospacing="0" w:after="200" w:afterAutospacing="0"/>
      </w:pPr>
      <w:r w:rsidRPr="006F5BAC">
        <w:rPr>
          <w:rFonts w:ascii="Arial" w:hAnsi="Arial" w:cs="Arial"/>
          <w:b/>
          <w:bCs/>
          <w:color w:val="404040"/>
        </w:rPr>
        <w:t xml:space="preserve">Goal 3: Improve transitions from adult schools to post-secondary education. </w:t>
      </w:r>
    </w:p>
    <w:tbl>
      <w:tblPr>
        <w:tblW w:w="14580" w:type="dxa"/>
        <w:tblInd w:w="-820" w:type="dxa"/>
        <w:tblCellMar>
          <w:top w:w="15" w:type="dxa"/>
          <w:left w:w="15" w:type="dxa"/>
          <w:bottom w:w="15" w:type="dxa"/>
          <w:right w:w="15" w:type="dxa"/>
        </w:tblCellMar>
        <w:tblLook w:val="04A0" w:firstRow="1" w:lastRow="0" w:firstColumn="1" w:lastColumn="0" w:noHBand="0" w:noVBand="1"/>
      </w:tblPr>
      <w:tblGrid>
        <w:gridCol w:w="2970"/>
        <w:gridCol w:w="2430"/>
        <w:gridCol w:w="2286"/>
        <w:gridCol w:w="2210"/>
        <w:gridCol w:w="2074"/>
        <w:gridCol w:w="2610"/>
      </w:tblGrid>
      <w:tr w:rsidR="001429DF" w:rsidTr="001429DF">
        <w:trPr>
          <w:trHeight w:val="720"/>
        </w:trPr>
        <w:tc>
          <w:tcPr>
            <w:tcW w:w="2970" w:type="dxa"/>
            <w:tcBorders>
              <w:top w:val="single" w:sz="8" w:space="0" w:color="A6A6A6"/>
              <w:left w:val="single" w:sz="8" w:space="0" w:color="A6A6A6"/>
              <w:bottom w:val="single" w:sz="8" w:space="0" w:color="A6A6A6"/>
              <w:right w:val="single" w:sz="8" w:space="0" w:color="A6A6A6"/>
            </w:tcBorders>
            <w:shd w:val="clear" w:color="auto" w:fill="002060"/>
            <w:tcMar>
              <w:top w:w="60" w:type="dxa"/>
              <w:left w:w="60" w:type="dxa"/>
              <w:bottom w:w="60" w:type="dxa"/>
              <w:right w:w="60" w:type="dxa"/>
            </w:tcMar>
            <w:hideMark/>
          </w:tcPr>
          <w:p w:rsidR="001429DF" w:rsidRDefault="001429DF" w:rsidP="001429DF">
            <w:pPr>
              <w:pStyle w:val="NormalWeb"/>
              <w:spacing w:before="0" w:beforeAutospacing="0" w:after="0" w:afterAutospacing="0"/>
              <w:jc w:val="center"/>
            </w:pPr>
            <w:r>
              <w:rPr>
                <w:rFonts w:ascii="Arial" w:hAnsi="Arial" w:cs="Arial"/>
                <w:b/>
                <w:bCs/>
                <w:color w:val="FFFFFF"/>
                <w:sz w:val="18"/>
                <w:szCs w:val="18"/>
              </w:rPr>
              <w:t>Inputs</w:t>
            </w:r>
          </w:p>
        </w:tc>
        <w:tc>
          <w:tcPr>
            <w:tcW w:w="2430" w:type="dxa"/>
            <w:tcBorders>
              <w:top w:val="single" w:sz="8" w:space="0" w:color="A6A6A6"/>
              <w:left w:val="single" w:sz="8" w:space="0" w:color="A6A6A6"/>
              <w:bottom w:val="single" w:sz="8" w:space="0" w:color="A6A6A6"/>
              <w:right w:val="single" w:sz="8" w:space="0" w:color="A6A6A6"/>
            </w:tcBorders>
            <w:shd w:val="clear" w:color="auto" w:fill="621E7C"/>
            <w:tcMar>
              <w:top w:w="60" w:type="dxa"/>
              <w:left w:w="60" w:type="dxa"/>
              <w:bottom w:w="60" w:type="dxa"/>
              <w:right w:w="60" w:type="dxa"/>
            </w:tcMar>
            <w:hideMark/>
          </w:tcPr>
          <w:p w:rsidR="001429DF" w:rsidRDefault="001429DF" w:rsidP="001429DF">
            <w:pPr>
              <w:pStyle w:val="NormalWeb"/>
              <w:spacing w:before="0" w:beforeAutospacing="0" w:after="0" w:afterAutospacing="0"/>
              <w:jc w:val="center"/>
            </w:pPr>
            <w:r>
              <w:rPr>
                <w:rFonts w:ascii="Arial" w:hAnsi="Arial" w:cs="Arial"/>
                <w:b/>
                <w:bCs/>
                <w:color w:val="FFFFFF"/>
                <w:sz w:val="18"/>
                <w:szCs w:val="18"/>
              </w:rPr>
              <w:t>Activities</w:t>
            </w:r>
          </w:p>
        </w:tc>
        <w:tc>
          <w:tcPr>
            <w:tcW w:w="2286" w:type="dxa"/>
            <w:tcBorders>
              <w:top w:val="single" w:sz="8" w:space="0" w:color="A6A6A6"/>
              <w:left w:val="single" w:sz="8" w:space="0" w:color="A6A6A6"/>
              <w:bottom w:val="single" w:sz="8" w:space="0" w:color="A6A6A6"/>
              <w:right w:val="single" w:sz="8" w:space="0" w:color="A6A6A6"/>
            </w:tcBorders>
            <w:shd w:val="clear" w:color="auto" w:fill="903F6C"/>
            <w:tcMar>
              <w:top w:w="60" w:type="dxa"/>
              <w:left w:w="60" w:type="dxa"/>
              <w:bottom w:w="60" w:type="dxa"/>
              <w:right w:w="60" w:type="dxa"/>
            </w:tcMar>
            <w:hideMark/>
          </w:tcPr>
          <w:p w:rsidR="001429DF" w:rsidRDefault="001429DF" w:rsidP="001429DF">
            <w:pPr>
              <w:pStyle w:val="NormalWeb"/>
              <w:spacing w:before="0" w:beforeAutospacing="0" w:after="0" w:afterAutospacing="0"/>
              <w:jc w:val="center"/>
            </w:pPr>
            <w:r>
              <w:rPr>
                <w:rFonts w:ascii="Arial" w:hAnsi="Arial" w:cs="Arial"/>
                <w:b/>
                <w:bCs/>
                <w:color w:val="FFFFFF"/>
                <w:sz w:val="18"/>
                <w:szCs w:val="18"/>
              </w:rPr>
              <w:t>Outputs</w:t>
            </w:r>
          </w:p>
        </w:tc>
        <w:tc>
          <w:tcPr>
            <w:tcW w:w="0" w:type="auto"/>
            <w:tcBorders>
              <w:top w:val="single" w:sz="8" w:space="0" w:color="A6A6A6"/>
              <w:left w:val="single" w:sz="8" w:space="0" w:color="A6A6A6"/>
              <w:bottom w:val="single" w:sz="8" w:space="0" w:color="A6A6A6"/>
              <w:right w:val="single" w:sz="8" w:space="0" w:color="A6A6A6"/>
            </w:tcBorders>
            <w:shd w:val="clear" w:color="auto" w:fill="B76059"/>
            <w:tcMar>
              <w:top w:w="60" w:type="dxa"/>
              <w:left w:w="60" w:type="dxa"/>
              <w:bottom w:w="60" w:type="dxa"/>
              <w:right w:w="60" w:type="dxa"/>
            </w:tcMar>
            <w:hideMark/>
          </w:tcPr>
          <w:p w:rsidR="001429DF" w:rsidRDefault="001429DF" w:rsidP="001429DF">
            <w:pPr>
              <w:pStyle w:val="NormalWeb"/>
              <w:spacing w:before="0" w:beforeAutospacing="0" w:after="0" w:afterAutospacing="0"/>
              <w:jc w:val="center"/>
            </w:pPr>
            <w:r>
              <w:rPr>
                <w:rFonts w:ascii="Arial" w:hAnsi="Arial" w:cs="Arial"/>
                <w:b/>
                <w:bCs/>
                <w:color w:val="FFFFFF"/>
                <w:sz w:val="18"/>
                <w:szCs w:val="18"/>
              </w:rPr>
              <w:t>Immediate (Short-Term) Outcomes</w:t>
            </w:r>
          </w:p>
        </w:tc>
        <w:tc>
          <w:tcPr>
            <w:tcW w:w="2074" w:type="dxa"/>
            <w:tcBorders>
              <w:top w:val="single" w:sz="8" w:space="0" w:color="A6A6A6"/>
              <w:left w:val="single" w:sz="8" w:space="0" w:color="A6A6A6"/>
              <w:bottom w:val="single" w:sz="8" w:space="0" w:color="A6A6A6"/>
              <w:right w:val="single" w:sz="8" w:space="0" w:color="A6A6A6"/>
            </w:tcBorders>
            <w:shd w:val="clear" w:color="auto" w:fill="DB8240"/>
            <w:tcMar>
              <w:top w:w="60" w:type="dxa"/>
              <w:left w:w="60" w:type="dxa"/>
              <w:bottom w:w="60" w:type="dxa"/>
              <w:right w:w="60" w:type="dxa"/>
            </w:tcMar>
            <w:hideMark/>
          </w:tcPr>
          <w:p w:rsidR="001429DF" w:rsidRDefault="001429DF" w:rsidP="001429DF">
            <w:pPr>
              <w:pStyle w:val="NormalWeb"/>
              <w:spacing w:before="0" w:beforeAutospacing="0" w:after="0" w:afterAutospacing="0"/>
              <w:jc w:val="center"/>
            </w:pPr>
            <w:r>
              <w:rPr>
                <w:rFonts w:ascii="Arial" w:hAnsi="Arial" w:cs="Arial"/>
                <w:b/>
                <w:bCs/>
                <w:color w:val="FFFFFF"/>
                <w:sz w:val="18"/>
                <w:szCs w:val="18"/>
              </w:rPr>
              <w:t>Intermediate Outcomes</w:t>
            </w:r>
          </w:p>
        </w:tc>
        <w:tc>
          <w:tcPr>
            <w:tcW w:w="2610" w:type="dxa"/>
            <w:tcBorders>
              <w:top w:val="single" w:sz="8" w:space="0" w:color="A6A6A6"/>
              <w:left w:val="single" w:sz="8" w:space="0" w:color="A6A6A6"/>
              <w:bottom w:val="single" w:sz="8" w:space="0" w:color="A6A6A6"/>
              <w:right w:val="single" w:sz="8" w:space="0" w:color="A6A6A6"/>
            </w:tcBorders>
            <w:shd w:val="clear" w:color="auto" w:fill="FFA500"/>
            <w:tcMar>
              <w:top w:w="60" w:type="dxa"/>
              <w:left w:w="60" w:type="dxa"/>
              <w:bottom w:w="60" w:type="dxa"/>
              <w:right w:w="60" w:type="dxa"/>
            </w:tcMar>
            <w:hideMark/>
          </w:tcPr>
          <w:p w:rsidR="001429DF" w:rsidRDefault="001429DF" w:rsidP="001429DF">
            <w:pPr>
              <w:pStyle w:val="NormalWeb"/>
              <w:spacing w:before="0" w:beforeAutospacing="0" w:after="0" w:afterAutospacing="0"/>
              <w:jc w:val="center"/>
            </w:pPr>
            <w:r>
              <w:rPr>
                <w:rFonts w:ascii="Arial" w:hAnsi="Arial" w:cs="Arial"/>
                <w:b/>
                <w:bCs/>
                <w:color w:val="FFFFFF"/>
                <w:sz w:val="18"/>
                <w:szCs w:val="18"/>
              </w:rPr>
              <w:t>Long-Term Outcomes / Impact</w:t>
            </w:r>
          </w:p>
        </w:tc>
      </w:tr>
      <w:tr w:rsidR="001429DF" w:rsidTr="001429DF">
        <w:trPr>
          <w:trHeight w:val="900"/>
        </w:trPr>
        <w:tc>
          <w:tcPr>
            <w:tcW w:w="2970" w:type="dxa"/>
            <w:tcBorders>
              <w:top w:val="single" w:sz="8" w:space="0" w:color="A6A6A6"/>
              <w:left w:val="single" w:sz="8" w:space="0" w:color="A6A6A6"/>
              <w:bottom w:val="single" w:sz="8" w:space="0" w:color="A6A6A6"/>
              <w:right w:val="single" w:sz="8" w:space="0" w:color="A6A6A6"/>
            </w:tcBorders>
            <w:tcMar>
              <w:top w:w="60" w:type="dxa"/>
              <w:left w:w="60" w:type="dxa"/>
              <w:bottom w:w="60" w:type="dxa"/>
              <w:right w:w="60" w:type="dxa"/>
            </w:tcMar>
            <w:hideMark/>
          </w:tcPr>
          <w:p w:rsidR="001429DF" w:rsidRDefault="001429DF" w:rsidP="001429DF">
            <w:pPr>
              <w:pStyle w:val="NormalWeb"/>
              <w:spacing w:before="0" w:beforeAutospacing="0" w:after="0" w:afterAutospacing="0"/>
              <w:jc w:val="center"/>
            </w:pPr>
            <w:r>
              <w:rPr>
                <w:rFonts w:ascii="Arial" w:hAnsi="Arial" w:cs="Arial"/>
                <w:i/>
                <w:iCs/>
                <w:color w:val="757171"/>
                <w:sz w:val="20"/>
                <w:szCs w:val="20"/>
              </w:rPr>
              <w:t>In order to accomplish our set of activities we will need the following:</w:t>
            </w:r>
          </w:p>
        </w:tc>
        <w:tc>
          <w:tcPr>
            <w:tcW w:w="2430" w:type="dxa"/>
            <w:tcBorders>
              <w:top w:val="single" w:sz="8" w:space="0" w:color="A6A6A6"/>
              <w:left w:val="single" w:sz="8" w:space="0" w:color="A6A6A6"/>
              <w:bottom w:val="single" w:sz="8" w:space="0" w:color="A6A6A6"/>
              <w:right w:val="single" w:sz="8" w:space="0" w:color="A6A6A6"/>
            </w:tcBorders>
            <w:tcMar>
              <w:top w:w="60" w:type="dxa"/>
              <w:left w:w="60" w:type="dxa"/>
              <w:bottom w:w="60" w:type="dxa"/>
              <w:right w:w="60" w:type="dxa"/>
            </w:tcMar>
            <w:hideMark/>
          </w:tcPr>
          <w:p w:rsidR="001429DF" w:rsidRDefault="001429DF" w:rsidP="001429DF">
            <w:pPr>
              <w:pStyle w:val="NormalWeb"/>
              <w:spacing w:before="0" w:beforeAutospacing="0" w:after="0" w:afterAutospacing="0"/>
              <w:jc w:val="center"/>
            </w:pPr>
            <w:r>
              <w:rPr>
                <w:rFonts w:ascii="Arial" w:hAnsi="Arial" w:cs="Arial"/>
                <w:i/>
                <w:iCs/>
                <w:color w:val="757171"/>
                <w:sz w:val="20"/>
                <w:szCs w:val="20"/>
              </w:rPr>
              <w:t>In order to address our problem or asset we will accomplish the following activities:</w:t>
            </w:r>
          </w:p>
        </w:tc>
        <w:tc>
          <w:tcPr>
            <w:tcW w:w="2286" w:type="dxa"/>
            <w:tcBorders>
              <w:top w:val="single" w:sz="8" w:space="0" w:color="A6A6A6"/>
              <w:left w:val="single" w:sz="8" w:space="0" w:color="A6A6A6"/>
              <w:bottom w:val="single" w:sz="8" w:space="0" w:color="A6A6A6"/>
              <w:right w:val="single" w:sz="8" w:space="0" w:color="A6A6A6"/>
            </w:tcBorders>
            <w:tcMar>
              <w:top w:w="60" w:type="dxa"/>
              <w:left w:w="60" w:type="dxa"/>
              <w:bottom w:w="60" w:type="dxa"/>
              <w:right w:w="60" w:type="dxa"/>
            </w:tcMar>
            <w:hideMark/>
          </w:tcPr>
          <w:p w:rsidR="001429DF" w:rsidRDefault="001429DF" w:rsidP="001429DF">
            <w:pPr>
              <w:pStyle w:val="NormalWeb"/>
              <w:spacing w:before="0" w:beforeAutospacing="0" w:after="0" w:afterAutospacing="0"/>
              <w:jc w:val="center"/>
            </w:pPr>
            <w:r>
              <w:rPr>
                <w:rFonts w:ascii="Arial" w:hAnsi="Arial" w:cs="Arial"/>
                <w:i/>
                <w:iCs/>
                <w:color w:val="757171"/>
                <w:sz w:val="20"/>
                <w:szCs w:val="20"/>
              </w:rPr>
              <w:t>We expect that once accomplished, these activities will produce the following evidence or service delivery:</w:t>
            </w:r>
          </w:p>
        </w:tc>
        <w:tc>
          <w:tcPr>
            <w:tcW w:w="0" w:type="auto"/>
            <w:tcBorders>
              <w:top w:val="single" w:sz="8" w:space="0" w:color="A6A6A6"/>
              <w:left w:val="single" w:sz="8" w:space="0" w:color="A6A6A6"/>
              <w:bottom w:val="single" w:sz="8" w:space="0" w:color="A6A6A6"/>
              <w:right w:val="single" w:sz="8" w:space="0" w:color="A6A6A6"/>
            </w:tcBorders>
            <w:tcMar>
              <w:top w:w="60" w:type="dxa"/>
              <w:left w:w="60" w:type="dxa"/>
              <w:bottom w:w="60" w:type="dxa"/>
              <w:right w:w="60" w:type="dxa"/>
            </w:tcMar>
            <w:hideMark/>
          </w:tcPr>
          <w:p w:rsidR="001429DF" w:rsidRDefault="001429DF" w:rsidP="001429DF">
            <w:pPr>
              <w:pStyle w:val="NormalWeb"/>
              <w:spacing w:before="0" w:beforeAutospacing="0" w:after="0" w:afterAutospacing="0"/>
              <w:jc w:val="center"/>
            </w:pPr>
            <w:r>
              <w:rPr>
                <w:rFonts w:ascii="Arial" w:hAnsi="Arial" w:cs="Arial"/>
                <w:i/>
                <w:iCs/>
                <w:color w:val="757171"/>
                <w:sz w:val="20"/>
                <w:szCs w:val="20"/>
              </w:rPr>
              <w:t>We expect that if accomplished these activities will lead to the following changes in the next year</w:t>
            </w:r>
          </w:p>
        </w:tc>
        <w:tc>
          <w:tcPr>
            <w:tcW w:w="2074" w:type="dxa"/>
            <w:tcBorders>
              <w:top w:val="single" w:sz="8" w:space="0" w:color="A6A6A6"/>
              <w:left w:val="single" w:sz="8" w:space="0" w:color="A6A6A6"/>
              <w:bottom w:val="single" w:sz="8" w:space="0" w:color="A6A6A6"/>
              <w:right w:val="single" w:sz="8" w:space="0" w:color="A6A6A6"/>
            </w:tcBorders>
            <w:tcMar>
              <w:top w:w="60" w:type="dxa"/>
              <w:left w:w="60" w:type="dxa"/>
              <w:bottom w:w="60" w:type="dxa"/>
              <w:right w:w="60" w:type="dxa"/>
            </w:tcMar>
            <w:hideMark/>
          </w:tcPr>
          <w:p w:rsidR="001429DF" w:rsidRDefault="001429DF" w:rsidP="001429DF">
            <w:pPr>
              <w:pStyle w:val="NormalWeb"/>
              <w:spacing w:before="0" w:beforeAutospacing="0" w:after="0" w:afterAutospacing="0"/>
              <w:jc w:val="center"/>
            </w:pPr>
            <w:r>
              <w:rPr>
                <w:rFonts w:ascii="Arial" w:hAnsi="Arial" w:cs="Arial"/>
                <w:i/>
                <w:iCs/>
                <w:color w:val="757171"/>
                <w:sz w:val="20"/>
                <w:szCs w:val="20"/>
              </w:rPr>
              <w:t>We expect that if accomplished these activities will lead to the following changes in 1-3 years</w:t>
            </w:r>
          </w:p>
        </w:tc>
        <w:tc>
          <w:tcPr>
            <w:tcW w:w="2610" w:type="dxa"/>
            <w:tcBorders>
              <w:top w:val="single" w:sz="8" w:space="0" w:color="A6A6A6"/>
              <w:left w:val="single" w:sz="8" w:space="0" w:color="A6A6A6"/>
              <w:bottom w:val="single" w:sz="8" w:space="0" w:color="A6A6A6"/>
              <w:right w:val="single" w:sz="8" w:space="0" w:color="A6A6A6"/>
            </w:tcBorders>
            <w:tcMar>
              <w:top w:w="60" w:type="dxa"/>
              <w:left w:w="60" w:type="dxa"/>
              <w:bottom w:w="60" w:type="dxa"/>
              <w:right w:w="60" w:type="dxa"/>
            </w:tcMar>
            <w:hideMark/>
          </w:tcPr>
          <w:p w:rsidR="001429DF" w:rsidRDefault="001429DF" w:rsidP="001429DF">
            <w:pPr>
              <w:pStyle w:val="NormalWeb"/>
              <w:spacing w:before="0" w:beforeAutospacing="0" w:after="0" w:afterAutospacing="0"/>
              <w:jc w:val="center"/>
            </w:pPr>
            <w:r>
              <w:rPr>
                <w:rFonts w:ascii="Arial" w:hAnsi="Arial" w:cs="Arial"/>
                <w:i/>
                <w:iCs/>
                <w:color w:val="757171"/>
                <w:sz w:val="20"/>
                <w:szCs w:val="20"/>
              </w:rPr>
              <w:t>We expect that if accomplished these activities will lead to the following changes in 3-5 years</w:t>
            </w:r>
          </w:p>
        </w:tc>
      </w:tr>
      <w:tr w:rsidR="001429DF" w:rsidTr="001429DF">
        <w:trPr>
          <w:trHeight w:val="7075"/>
        </w:trPr>
        <w:tc>
          <w:tcPr>
            <w:tcW w:w="2970" w:type="dxa"/>
            <w:tcBorders>
              <w:top w:val="single" w:sz="8" w:space="0" w:color="A6A6A6"/>
              <w:left w:val="single" w:sz="8" w:space="0" w:color="A6A6A6"/>
              <w:bottom w:val="single" w:sz="8" w:space="0" w:color="A6A6A6"/>
              <w:right w:val="single" w:sz="8" w:space="0" w:color="A6A6A6"/>
            </w:tcBorders>
            <w:tcMar>
              <w:top w:w="60" w:type="dxa"/>
              <w:left w:w="60" w:type="dxa"/>
              <w:bottom w:w="60" w:type="dxa"/>
              <w:right w:w="60" w:type="dxa"/>
            </w:tcMar>
            <w:hideMark/>
          </w:tcPr>
          <w:p w:rsidR="001429DF" w:rsidRDefault="001429DF" w:rsidP="001429DF">
            <w:pPr>
              <w:pStyle w:val="NormalWeb"/>
              <w:spacing w:before="0" w:beforeAutospacing="0" w:after="0" w:afterAutospacing="0"/>
            </w:pPr>
            <w:r>
              <w:rPr>
                <w:rFonts w:ascii="Arial" w:hAnsi="Arial" w:cs="Arial"/>
                <w:color w:val="04326C"/>
                <w:sz w:val="20"/>
                <w:szCs w:val="20"/>
              </w:rPr>
              <w:lastRenderedPageBreak/>
              <w:t>1. Access to counterparts across the state to learn more about best practices.</w:t>
            </w:r>
          </w:p>
          <w:p w:rsidR="001429DF" w:rsidRDefault="001429DF" w:rsidP="001429DF"/>
          <w:p w:rsidR="001429DF" w:rsidRDefault="001429DF" w:rsidP="001429DF">
            <w:pPr>
              <w:pStyle w:val="NormalWeb"/>
              <w:spacing w:before="0" w:beforeAutospacing="0" w:after="0" w:afterAutospacing="0"/>
            </w:pPr>
            <w:r>
              <w:rPr>
                <w:rFonts w:ascii="Arial" w:hAnsi="Arial" w:cs="Arial"/>
                <w:color w:val="04326C"/>
                <w:sz w:val="20"/>
                <w:szCs w:val="20"/>
              </w:rPr>
              <w:t>2. Buy-in and incentives for post-secondary faculty and AE instructors to collaborate/communication about curriculum alignment.</w:t>
            </w:r>
          </w:p>
          <w:p w:rsidR="001429DF" w:rsidRDefault="001429DF" w:rsidP="001429DF"/>
          <w:p w:rsidR="001429DF" w:rsidRDefault="001429DF" w:rsidP="001429DF">
            <w:pPr>
              <w:pStyle w:val="NormalWeb"/>
              <w:spacing w:before="0" w:beforeAutospacing="0" w:after="0" w:afterAutospacing="0"/>
            </w:pPr>
            <w:r>
              <w:rPr>
                <w:rFonts w:ascii="Arial" w:hAnsi="Arial" w:cs="Arial"/>
                <w:color w:val="04326C"/>
                <w:sz w:val="20"/>
                <w:szCs w:val="20"/>
              </w:rPr>
              <w:t>3. Framework for collecting data to track students between AE and SC (and other post-secondary entities</w:t>
            </w:r>
            <w:proofErr w:type="gramStart"/>
            <w:r>
              <w:rPr>
                <w:rFonts w:ascii="Arial" w:hAnsi="Arial" w:cs="Arial"/>
                <w:color w:val="04326C"/>
                <w:sz w:val="20"/>
                <w:szCs w:val="20"/>
              </w:rPr>
              <w:t>)..</w:t>
            </w:r>
            <w:proofErr w:type="gramEnd"/>
          </w:p>
          <w:p w:rsidR="001429DF" w:rsidRDefault="001429DF" w:rsidP="001429DF">
            <w:pPr>
              <w:spacing w:after="240"/>
            </w:pPr>
          </w:p>
          <w:p w:rsidR="001429DF" w:rsidRDefault="001429DF" w:rsidP="001429DF">
            <w:pPr>
              <w:pStyle w:val="NormalWeb"/>
              <w:spacing w:before="0" w:beforeAutospacing="0" w:after="0" w:afterAutospacing="0"/>
            </w:pPr>
            <w:r>
              <w:rPr>
                <w:rFonts w:ascii="Arial" w:hAnsi="Arial" w:cs="Arial"/>
                <w:color w:val="04326C"/>
                <w:sz w:val="20"/>
                <w:szCs w:val="20"/>
              </w:rPr>
              <w:t> </w:t>
            </w:r>
            <w:r>
              <w:rPr>
                <w:rFonts w:ascii="Arial" w:hAnsi="Arial" w:cs="Arial"/>
                <w:color w:val="04326C"/>
                <w:sz w:val="20"/>
                <w:szCs w:val="20"/>
              </w:rPr>
              <w:t> </w:t>
            </w:r>
            <w:r>
              <w:rPr>
                <w:rFonts w:ascii="Arial" w:hAnsi="Arial" w:cs="Arial"/>
                <w:color w:val="04326C"/>
                <w:sz w:val="20"/>
                <w:szCs w:val="20"/>
              </w:rPr>
              <w:t> </w:t>
            </w:r>
          </w:p>
        </w:tc>
        <w:tc>
          <w:tcPr>
            <w:tcW w:w="2430" w:type="dxa"/>
            <w:tcBorders>
              <w:top w:val="single" w:sz="8" w:space="0" w:color="A6A6A6"/>
              <w:left w:val="single" w:sz="8" w:space="0" w:color="A6A6A6"/>
              <w:bottom w:val="single" w:sz="8" w:space="0" w:color="A6A6A6"/>
              <w:right w:val="single" w:sz="8" w:space="0" w:color="A6A6A6"/>
            </w:tcBorders>
            <w:tcMar>
              <w:top w:w="60" w:type="dxa"/>
              <w:left w:w="60" w:type="dxa"/>
              <w:bottom w:w="60" w:type="dxa"/>
              <w:right w:w="60" w:type="dxa"/>
            </w:tcMar>
            <w:hideMark/>
          </w:tcPr>
          <w:p w:rsidR="001429DF" w:rsidRDefault="001429DF" w:rsidP="001429DF">
            <w:pPr>
              <w:pStyle w:val="NormalWeb"/>
              <w:spacing w:before="0" w:beforeAutospacing="0" w:after="0" w:afterAutospacing="0"/>
            </w:pPr>
            <w:r>
              <w:rPr>
                <w:rFonts w:ascii="Arial" w:hAnsi="Arial" w:cs="Arial"/>
                <w:color w:val="04326C"/>
                <w:sz w:val="20"/>
                <w:szCs w:val="20"/>
              </w:rPr>
              <w:t>Activity 1: Explore best practices across state and develop plan (may include field trips to Sierra classes, awareness/assistance workshops, counselor education/training, and curriculum articulation opportunities).  </w:t>
            </w:r>
          </w:p>
          <w:p w:rsidR="001429DF" w:rsidRDefault="001429DF" w:rsidP="001429DF"/>
          <w:p w:rsidR="001429DF" w:rsidRDefault="001429DF" w:rsidP="001429DF">
            <w:pPr>
              <w:pStyle w:val="NormalWeb"/>
              <w:spacing w:before="0" w:beforeAutospacing="0" w:after="0" w:afterAutospacing="0"/>
            </w:pPr>
            <w:r>
              <w:rPr>
                <w:rFonts w:ascii="Arial" w:hAnsi="Arial" w:cs="Arial"/>
                <w:color w:val="04326C"/>
                <w:sz w:val="20"/>
                <w:szCs w:val="20"/>
              </w:rPr>
              <w:t>Activity 2: Develop a plan to pilot activities and monitor students’ transitions to SC and other post-secondary entities.</w:t>
            </w:r>
          </w:p>
          <w:p w:rsidR="001429DF" w:rsidRDefault="001429DF" w:rsidP="001429DF">
            <w:pPr>
              <w:pStyle w:val="NormalWeb"/>
              <w:spacing w:before="0" w:beforeAutospacing="0" w:after="0" w:afterAutospacing="0"/>
            </w:pPr>
            <w:r>
              <w:rPr>
                <w:rFonts w:ascii="Arial" w:hAnsi="Arial" w:cs="Arial"/>
                <w:b/>
                <w:bCs/>
                <w:color w:val="04326C"/>
                <w:sz w:val="20"/>
                <w:szCs w:val="20"/>
              </w:rPr>
              <w:t xml:space="preserve"> </w:t>
            </w:r>
          </w:p>
          <w:p w:rsidR="001429DF" w:rsidRDefault="001429DF" w:rsidP="001429DF">
            <w:pPr>
              <w:pStyle w:val="NormalWeb"/>
              <w:spacing w:before="0" w:beforeAutospacing="0" w:after="0" w:afterAutospacing="0"/>
            </w:pPr>
            <w:r>
              <w:rPr>
                <w:rFonts w:ascii="Arial" w:hAnsi="Arial" w:cs="Arial"/>
                <w:color w:val="04326C"/>
                <w:sz w:val="20"/>
                <w:szCs w:val="20"/>
              </w:rPr>
              <w:t>Activity 3: Sierra faculty collaboration with adult school instructors and counselors on articulations and transitions where relevant (</w:t>
            </w:r>
            <w:proofErr w:type="spellStart"/>
            <w:r>
              <w:rPr>
                <w:rFonts w:ascii="Arial" w:hAnsi="Arial" w:cs="Arial"/>
                <w:color w:val="04326C"/>
                <w:sz w:val="20"/>
                <w:szCs w:val="20"/>
              </w:rPr>
              <w:t>eg</w:t>
            </w:r>
            <w:proofErr w:type="spellEnd"/>
            <w:r>
              <w:rPr>
                <w:rFonts w:ascii="Arial" w:hAnsi="Arial" w:cs="Arial"/>
                <w:color w:val="04326C"/>
                <w:sz w:val="20"/>
                <w:szCs w:val="20"/>
              </w:rPr>
              <w:t>. construction (including jail program), computers/IT, advanced manufacturing and welding, etc.).</w:t>
            </w:r>
          </w:p>
          <w:p w:rsidR="001429DF" w:rsidRDefault="001429DF" w:rsidP="001429DF">
            <w:pPr>
              <w:pStyle w:val="NormalWeb"/>
              <w:spacing w:before="0" w:beforeAutospacing="0" w:after="0" w:afterAutospacing="0"/>
            </w:pPr>
            <w:r>
              <w:rPr>
                <w:rFonts w:ascii="Arial" w:hAnsi="Arial" w:cs="Arial"/>
                <w:color w:val="04326C"/>
                <w:sz w:val="20"/>
                <w:szCs w:val="20"/>
              </w:rPr>
              <w:t> </w:t>
            </w:r>
            <w:r>
              <w:rPr>
                <w:rFonts w:ascii="Arial" w:hAnsi="Arial" w:cs="Arial"/>
                <w:color w:val="04326C"/>
                <w:sz w:val="20"/>
                <w:szCs w:val="20"/>
              </w:rPr>
              <w:t> </w:t>
            </w:r>
            <w:r>
              <w:rPr>
                <w:rFonts w:ascii="Arial" w:hAnsi="Arial" w:cs="Arial"/>
                <w:color w:val="04326C"/>
                <w:sz w:val="20"/>
                <w:szCs w:val="20"/>
              </w:rPr>
              <w:t> </w:t>
            </w:r>
            <w:r>
              <w:rPr>
                <w:rFonts w:ascii="Arial" w:hAnsi="Arial" w:cs="Arial"/>
                <w:color w:val="04326C"/>
                <w:sz w:val="20"/>
                <w:szCs w:val="20"/>
              </w:rPr>
              <w:t> </w:t>
            </w:r>
            <w:r>
              <w:rPr>
                <w:rFonts w:ascii="Arial" w:hAnsi="Arial" w:cs="Arial"/>
                <w:color w:val="04326C"/>
                <w:sz w:val="20"/>
                <w:szCs w:val="20"/>
              </w:rPr>
              <w:t> </w:t>
            </w:r>
          </w:p>
        </w:tc>
        <w:tc>
          <w:tcPr>
            <w:tcW w:w="2286" w:type="dxa"/>
            <w:tcBorders>
              <w:top w:val="single" w:sz="8" w:space="0" w:color="A6A6A6"/>
              <w:left w:val="single" w:sz="8" w:space="0" w:color="A6A6A6"/>
              <w:bottom w:val="single" w:sz="8" w:space="0" w:color="A6A6A6"/>
              <w:right w:val="single" w:sz="8" w:space="0" w:color="A6A6A6"/>
            </w:tcBorders>
            <w:tcMar>
              <w:top w:w="60" w:type="dxa"/>
              <w:left w:w="60" w:type="dxa"/>
              <w:bottom w:w="60" w:type="dxa"/>
              <w:right w:w="60" w:type="dxa"/>
            </w:tcMar>
            <w:hideMark/>
          </w:tcPr>
          <w:p w:rsidR="001429DF" w:rsidRDefault="001429DF" w:rsidP="001429DF">
            <w:pPr>
              <w:pStyle w:val="NormalWeb"/>
              <w:spacing w:before="0" w:beforeAutospacing="0" w:after="0" w:afterAutospacing="0"/>
            </w:pPr>
            <w:r>
              <w:rPr>
                <w:rFonts w:ascii="Arial" w:hAnsi="Arial" w:cs="Arial"/>
                <w:color w:val="04326C"/>
                <w:sz w:val="20"/>
                <w:szCs w:val="20"/>
              </w:rPr>
              <w:t>1. Initial output will be a plan that identifies relevant best practices and a timeline to implement/pilot.</w:t>
            </w:r>
          </w:p>
          <w:p w:rsidR="001429DF" w:rsidRDefault="001429DF" w:rsidP="001429DF"/>
          <w:p w:rsidR="001429DF" w:rsidRDefault="001429DF" w:rsidP="001429DF">
            <w:pPr>
              <w:pStyle w:val="NormalWeb"/>
              <w:spacing w:before="0" w:beforeAutospacing="0" w:after="0" w:afterAutospacing="0"/>
            </w:pPr>
            <w:r>
              <w:rPr>
                <w:rFonts w:ascii="Arial" w:hAnsi="Arial" w:cs="Arial"/>
                <w:color w:val="04326C"/>
                <w:sz w:val="20"/>
                <w:szCs w:val="20"/>
              </w:rPr>
              <w:t>2.  Better understanding of the long term potential to build on their skills over time to continue to advance in jobs/careers.</w:t>
            </w:r>
            <w:r>
              <w:rPr>
                <w:rFonts w:ascii="Arial" w:hAnsi="Arial" w:cs="Arial"/>
                <w:color w:val="04326C"/>
                <w:sz w:val="20"/>
                <w:szCs w:val="20"/>
              </w:rPr>
              <w:t> </w:t>
            </w:r>
            <w:r>
              <w:rPr>
                <w:rFonts w:ascii="Arial" w:hAnsi="Arial" w:cs="Arial"/>
                <w:color w:val="04326C"/>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60" w:type="dxa"/>
              <w:left w:w="60" w:type="dxa"/>
              <w:bottom w:w="60" w:type="dxa"/>
              <w:right w:w="60" w:type="dxa"/>
            </w:tcMar>
            <w:hideMark/>
          </w:tcPr>
          <w:p w:rsidR="001429DF" w:rsidRDefault="001429DF" w:rsidP="001429DF">
            <w:pPr>
              <w:pStyle w:val="NormalWeb"/>
              <w:spacing w:before="0" w:beforeAutospacing="0" w:after="0" w:afterAutospacing="0"/>
            </w:pPr>
            <w:r>
              <w:rPr>
                <w:rFonts w:ascii="Arial" w:hAnsi="Arial" w:cs="Arial"/>
                <w:color w:val="04326C"/>
                <w:sz w:val="20"/>
                <w:szCs w:val="20"/>
              </w:rPr>
              <w:t>1.  Pilot plan of best practices from around the state launched.</w:t>
            </w:r>
          </w:p>
          <w:p w:rsidR="001429DF" w:rsidRDefault="001429DF" w:rsidP="001429DF"/>
          <w:p w:rsidR="001429DF" w:rsidRDefault="001429DF" w:rsidP="001429DF">
            <w:pPr>
              <w:pStyle w:val="NormalWeb"/>
              <w:spacing w:before="0" w:beforeAutospacing="0" w:after="0" w:afterAutospacing="0"/>
            </w:pPr>
            <w:r>
              <w:rPr>
                <w:rFonts w:ascii="Arial" w:hAnsi="Arial" w:cs="Arial"/>
                <w:color w:val="04326C"/>
                <w:sz w:val="20"/>
                <w:szCs w:val="20"/>
              </w:rPr>
              <w:t>2. Students will have increased awareness of career pathway options (and understanding of how their skills acquired at AE may lead to further training and higher paying jobs with certificates/degrees from college).</w:t>
            </w:r>
          </w:p>
          <w:p w:rsidR="001429DF" w:rsidRDefault="001429DF" w:rsidP="001429DF">
            <w:pPr>
              <w:spacing w:after="240"/>
            </w:pPr>
          </w:p>
        </w:tc>
        <w:tc>
          <w:tcPr>
            <w:tcW w:w="2074" w:type="dxa"/>
            <w:tcBorders>
              <w:top w:val="single" w:sz="8" w:space="0" w:color="A6A6A6"/>
              <w:left w:val="single" w:sz="8" w:space="0" w:color="A6A6A6"/>
              <w:bottom w:val="single" w:sz="8" w:space="0" w:color="A6A6A6"/>
              <w:right w:val="single" w:sz="8" w:space="0" w:color="A6A6A6"/>
            </w:tcBorders>
            <w:tcMar>
              <w:top w:w="60" w:type="dxa"/>
              <w:left w:w="60" w:type="dxa"/>
              <w:bottom w:w="60" w:type="dxa"/>
              <w:right w:w="60" w:type="dxa"/>
            </w:tcMar>
            <w:hideMark/>
          </w:tcPr>
          <w:p w:rsidR="001429DF" w:rsidRDefault="001429DF" w:rsidP="001429DF">
            <w:pPr>
              <w:pStyle w:val="NormalWeb"/>
              <w:spacing w:before="0" w:beforeAutospacing="0" w:after="0" w:afterAutospacing="0"/>
            </w:pPr>
            <w:r>
              <w:rPr>
                <w:rFonts w:ascii="Arial" w:hAnsi="Arial" w:cs="Arial"/>
                <w:color w:val="04326C"/>
                <w:sz w:val="20"/>
                <w:szCs w:val="20"/>
              </w:rPr>
              <w:t>1. AE students have greater awareness of the programs/career pathways offered at SC and other postsecondary programs through conversations with instructors and counselors.</w:t>
            </w:r>
          </w:p>
          <w:p w:rsidR="001429DF" w:rsidRDefault="001429DF" w:rsidP="001429DF"/>
          <w:p w:rsidR="001429DF" w:rsidRDefault="001429DF" w:rsidP="001429DF">
            <w:pPr>
              <w:pStyle w:val="NormalWeb"/>
              <w:spacing w:before="0" w:beforeAutospacing="0" w:after="0" w:afterAutospacing="0"/>
            </w:pPr>
            <w:r>
              <w:rPr>
                <w:rFonts w:ascii="Arial" w:hAnsi="Arial" w:cs="Arial"/>
                <w:color w:val="04326C"/>
                <w:sz w:val="20"/>
                <w:szCs w:val="20"/>
              </w:rPr>
              <w:t>2. Better program/pathway alignment between AEs and post-secondary CTE programs.</w:t>
            </w:r>
          </w:p>
          <w:p w:rsidR="001429DF" w:rsidRDefault="001429DF" w:rsidP="001429DF"/>
          <w:p w:rsidR="001429DF" w:rsidRDefault="001429DF" w:rsidP="001429DF">
            <w:pPr>
              <w:pStyle w:val="NormalWeb"/>
              <w:spacing w:before="0" w:beforeAutospacing="0" w:after="0" w:afterAutospacing="0"/>
            </w:pPr>
            <w:r>
              <w:rPr>
                <w:rFonts w:ascii="Arial" w:hAnsi="Arial" w:cs="Arial"/>
                <w:color w:val="04326C"/>
                <w:sz w:val="20"/>
                <w:szCs w:val="20"/>
              </w:rPr>
              <w:t>3. Data indicates the number of AE students attending SC and/or other post-secondary entities has increased (using original benchmarks).</w:t>
            </w:r>
            <w:r>
              <w:rPr>
                <w:rFonts w:ascii="Arial" w:hAnsi="Arial" w:cs="Arial"/>
                <w:color w:val="04326C"/>
                <w:sz w:val="20"/>
                <w:szCs w:val="20"/>
              </w:rPr>
              <w:t> </w:t>
            </w:r>
          </w:p>
        </w:tc>
        <w:tc>
          <w:tcPr>
            <w:tcW w:w="2610" w:type="dxa"/>
            <w:tcBorders>
              <w:top w:val="single" w:sz="8" w:space="0" w:color="A6A6A6"/>
              <w:left w:val="single" w:sz="8" w:space="0" w:color="A6A6A6"/>
              <w:bottom w:val="single" w:sz="8" w:space="0" w:color="A6A6A6"/>
              <w:right w:val="single" w:sz="8" w:space="0" w:color="A6A6A6"/>
            </w:tcBorders>
            <w:tcMar>
              <w:top w:w="60" w:type="dxa"/>
              <w:left w:w="60" w:type="dxa"/>
              <w:bottom w:w="60" w:type="dxa"/>
              <w:right w:w="60" w:type="dxa"/>
            </w:tcMar>
            <w:hideMark/>
          </w:tcPr>
          <w:p w:rsidR="001429DF" w:rsidRDefault="001429DF" w:rsidP="001429DF">
            <w:pPr>
              <w:pStyle w:val="NormalWeb"/>
              <w:spacing w:before="0" w:beforeAutospacing="0" w:after="0" w:afterAutospacing="0"/>
            </w:pPr>
            <w:r>
              <w:rPr>
                <w:rFonts w:ascii="Arial" w:hAnsi="Arial" w:cs="Arial"/>
                <w:color w:val="04326C"/>
                <w:sz w:val="20"/>
                <w:szCs w:val="20"/>
              </w:rPr>
              <w:t xml:space="preserve">1. Articulation agreements (formal and informal opportunities) are in place in relevant CTE programs between AEs and SC or other post-secondary </w:t>
            </w:r>
            <w:proofErr w:type="gramStart"/>
            <w:r>
              <w:rPr>
                <w:rFonts w:ascii="Arial" w:hAnsi="Arial" w:cs="Arial"/>
                <w:color w:val="04326C"/>
                <w:sz w:val="20"/>
                <w:szCs w:val="20"/>
              </w:rPr>
              <w:t>entities..</w:t>
            </w:r>
            <w:proofErr w:type="gramEnd"/>
          </w:p>
          <w:p w:rsidR="001429DF" w:rsidRDefault="001429DF" w:rsidP="001429DF"/>
          <w:p w:rsidR="001429DF" w:rsidRDefault="001429DF" w:rsidP="001429DF">
            <w:pPr>
              <w:pStyle w:val="NormalWeb"/>
              <w:spacing w:before="0" w:beforeAutospacing="0" w:after="0" w:afterAutospacing="0"/>
            </w:pPr>
            <w:r>
              <w:rPr>
                <w:rFonts w:ascii="Arial" w:hAnsi="Arial" w:cs="Arial"/>
                <w:color w:val="04326C"/>
                <w:sz w:val="20"/>
                <w:szCs w:val="20"/>
              </w:rPr>
              <w:t xml:space="preserve">2. Students who wish to continue on to SC for a degree or certificate understand the process and experience a smooth transition. </w:t>
            </w:r>
            <w:r>
              <w:rPr>
                <w:rFonts w:ascii="Arial" w:hAnsi="Arial" w:cs="Arial"/>
                <w:color w:val="04326C"/>
                <w:sz w:val="20"/>
                <w:szCs w:val="20"/>
              </w:rPr>
              <w:t> </w:t>
            </w:r>
            <w:r>
              <w:rPr>
                <w:rFonts w:ascii="Arial" w:hAnsi="Arial" w:cs="Arial"/>
                <w:color w:val="04326C"/>
                <w:sz w:val="20"/>
                <w:szCs w:val="20"/>
              </w:rPr>
              <w:t> </w:t>
            </w:r>
          </w:p>
        </w:tc>
      </w:tr>
    </w:tbl>
    <w:p w:rsidR="001429DF" w:rsidRDefault="001429DF" w:rsidP="001429DF">
      <w:pPr>
        <w:pStyle w:val="NormalWeb"/>
        <w:spacing w:before="0" w:beforeAutospacing="0" w:after="0" w:afterAutospacing="0"/>
      </w:pPr>
      <w:r>
        <w:rPr>
          <w:color w:val="000000"/>
        </w:rPr>
        <w:t xml:space="preserve"> </w:t>
      </w:r>
    </w:p>
    <w:tbl>
      <w:tblPr>
        <w:tblW w:w="14490" w:type="dxa"/>
        <w:tblInd w:w="-820" w:type="dxa"/>
        <w:tblCellMar>
          <w:top w:w="15" w:type="dxa"/>
          <w:left w:w="15" w:type="dxa"/>
          <w:bottom w:w="15" w:type="dxa"/>
          <w:right w:w="15" w:type="dxa"/>
        </w:tblCellMar>
        <w:tblLook w:val="04A0" w:firstRow="1" w:lastRow="0" w:firstColumn="1" w:lastColumn="0" w:noHBand="0" w:noVBand="1"/>
      </w:tblPr>
      <w:tblGrid>
        <w:gridCol w:w="8916"/>
        <w:gridCol w:w="5574"/>
      </w:tblGrid>
      <w:tr w:rsidR="001429DF" w:rsidTr="001429DF">
        <w:trPr>
          <w:trHeight w:val="300"/>
        </w:trPr>
        <w:tc>
          <w:tcPr>
            <w:tcW w:w="8916" w:type="dxa"/>
            <w:tcBorders>
              <w:top w:val="single" w:sz="8" w:space="0" w:color="A6A6A6"/>
              <w:left w:val="single" w:sz="8" w:space="0" w:color="A6A6A6"/>
              <w:bottom w:val="single" w:sz="8" w:space="0" w:color="A6A6A6"/>
              <w:right w:val="single" w:sz="8" w:space="0" w:color="A6A6A6"/>
            </w:tcBorders>
            <w:shd w:val="clear" w:color="auto" w:fill="808080"/>
            <w:tcMar>
              <w:top w:w="60" w:type="dxa"/>
              <w:left w:w="60" w:type="dxa"/>
              <w:bottom w:w="60" w:type="dxa"/>
              <w:right w:w="60" w:type="dxa"/>
            </w:tcMar>
            <w:hideMark/>
          </w:tcPr>
          <w:p w:rsidR="001429DF" w:rsidRDefault="001429DF" w:rsidP="001429DF">
            <w:pPr>
              <w:pStyle w:val="NormalWeb"/>
              <w:spacing w:before="0" w:beforeAutospacing="0" w:after="0" w:afterAutospacing="0"/>
              <w:jc w:val="center"/>
            </w:pPr>
            <w:r>
              <w:rPr>
                <w:rFonts w:ascii="Arial" w:hAnsi="Arial" w:cs="Arial"/>
                <w:b/>
                <w:bCs/>
                <w:color w:val="FFFFFF"/>
                <w:sz w:val="18"/>
                <w:szCs w:val="18"/>
              </w:rPr>
              <w:t>Assumptions</w:t>
            </w:r>
          </w:p>
        </w:tc>
        <w:tc>
          <w:tcPr>
            <w:tcW w:w="5574" w:type="dxa"/>
            <w:tcBorders>
              <w:top w:val="single" w:sz="8" w:space="0" w:color="A6A6A6"/>
              <w:left w:val="single" w:sz="8" w:space="0" w:color="A6A6A6"/>
              <w:bottom w:val="single" w:sz="8" w:space="0" w:color="A6A6A6"/>
              <w:right w:val="single" w:sz="8" w:space="0" w:color="A6A6A6"/>
            </w:tcBorders>
            <w:shd w:val="clear" w:color="auto" w:fill="808080"/>
            <w:tcMar>
              <w:top w:w="60" w:type="dxa"/>
              <w:left w:w="60" w:type="dxa"/>
              <w:bottom w:w="60" w:type="dxa"/>
              <w:right w:w="60" w:type="dxa"/>
            </w:tcMar>
            <w:hideMark/>
          </w:tcPr>
          <w:p w:rsidR="001429DF" w:rsidRDefault="001429DF" w:rsidP="001429DF">
            <w:pPr>
              <w:pStyle w:val="NormalWeb"/>
              <w:spacing w:before="0" w:beforeAutospacing="0" w:after="0" w:afterAutospacing="0"/>
              <w:jc w:val="center"/>
            </w:pPr>
            <w:r>
              <w:rPr>
                <w:rFonts w:ascii="Arial" w:hAnsi="Arial" w:cs="Arial"/>
                <w:b/>
                <w:bCs/>
                <w:color w:val="FFFFFF"/>
                <w:sz w:val="18"/>
                <w:szCs w:val="18"/>
              </w:rPr>
              <w:t>External Factors</w:t>
            </w:r>
          </w:p>
        </w:tc>
      </w:tr>
      <w:tr w:rsidR="001429DF" w:rsidTr="001429DF">
        <w:trPr>
          <w:trHeight w:val="820"/>
        </w:trPr>
        <w:tc>
          <w:tcPr>
            <w:tcW w:w="8916" w:type="dxa"/>
            <w:tcBorders>
              <w:top w:val="single" w:sz="8" w:space="0" w:color="A6A6A6"/>
              <w:left w:val="single" w:sz="8" w:space="0" w:color="A6A6A6"/>
              <w:bottom w:val="single" w:sz="8" w:space="0" w:color="A6A6A6"/>
              <w:right w:val="single" w:sz="8" w:space="0" w:color="A6A6A6"/>
            </w:tcBorders>
            <w:tcMar>
              <w:top w:w="60" w:type="dxa"/>
              <w:left w:w="60" w:type="dxa"/>
              <w:bottom w:w="60" w:type="dxa"/>
              <w:right w:w="60" w:type="dxa"/>
            </w:tcMar>
            <w:hideMark/>
          </w:tcPr>
          <w:p w:rsidR="001429DF" w:rsidRDefault="00521425" w:rsidP="00521425">
            <w:pPr>
              <w:pStyle w:val="NormalWeb"/>
              <w:numPr>
                <w:ilvl w:val="0"/>
                <w:numId w:val="6"/>
              </w:numPr>
              <w:spacing w:before="0" w:beforeAutospacing="0" w:after="0" w:afterAutospacing="0"/>
            </w:pPr>
            <w:r>
              <w:rPr>
                <w:rFonts w:ascii="Arial" w:hAnsi="Arial" w:cs="Arial"/>
                <w:color w:val="04326C"/>
                <w:sz w:val="20"/>
                <w:szCs w:val="20"/>
              </w:rPr>
              <w:t>A</w:t>
            </w:r>
            <w:r w:rsidR="001429DF">
              <w:rPr>
                <w:rFonts w:ascii="Arial" w:hAnsi="Arial" w:cs="Arial"/>
                <w:color w:val="04326C"/>
                <w:sz w:val="20"/>
                <w:szCs w:val="20"/>
              </w:rPr>
              <w:t xml:space="preserve">ble to secure buy-in between Sierra faculty and student services and AE counselors and instructors to pilot and implement ideas and best practices that are identified through initial research. </w:t>
            </w:r>
            <w:r w:rsidR="001429DF">
              <w:rPr>
                <w:rFonts w:ascii="Arial" w:hAnsi="Arial" w:cs="Arial"/>
                <w:color w:val="04326C"/>
                <w:sz w:val="20"/>
                <w:szCs w:val="20"/>
              </w:rPr>
              <w:t> </w:t>
            </w:r>
          </w:p>
        </w:tc>
        <w:tc>
          <w:tcPr>
            <w:tcW w:w="5574" w:type="dxa"/>
            <w:tcBorders>
              <w:top w:val="single" w:sz="8" w:space="0" w:color="A6A6A6"/>
              <w:left w:val="single" w:sz="8" w:space="0" w:color="A6A6A6"/>
              <w:bottom w:val="single" w:sz="8" w:space="0" w:color="A6A6A6"/>
              <w:right w:val="single" w:sz="8" w:space="0" w:color="A6A6A6"/>
            </w:tcBorders>
            <w:tcMar>
              <w:top w:w="60" w:type="dxa"/>
              <w:left w:w="60" w:type="dxa"/>
              <w:bottom w:w="60" w:type="dxa"/>
              <w:right w:w="60" w:type="dxa"/>
            </w:tcMar>
            <w:hideMark/>
          </w:tcPr>
          <w:p w:rsidR="001429DF" w:rsidRDefault="001429DF" w:rsidP="001429DF">
            <w:pPr>
              <w:pStyle w:val="NormalWeb"/>
              <w:numPr>
                <w:ilvl w:val="0"/>
                <w:numId w:val="6"/>
              </w:numPr>
              <w:spacing w:before="0" w:beforeAutospacing="0" w:after="0" w:afterAutospacing="0"/>
              <w:textAlignment w:val="baseline"/>
              <w:rPr>
                <w:rFonts w:ascii="Arial" w:hAnsi="Arial" w:cs="Arial"/>
                <w:color w:val="04326C"/>
                <w:sz w:val="20"/>
                <w:szCs w:val="20"/>
              </w:rPr>
            </w:pPr>
            <w:r>
              <w:rPr>
                <w:rFonts w:ascii="Arial" w:hAnsi="Arial" w:cs="Arial"/>
                <w:color w:val="04326C"/>
                <w:sz w:val="20"/>
                <w:szCs w:val="20"/>
              </w:rPr>
              <w:t>Time and money.</w:t>
            </w:r>
          </w:p>
          <w:p w:rsidR="001429DF" w:rsidRDefault="001429DF" w:rsidP="001429DF">
            <w:pPr>
              <w:pStyle w:val="NormalWeb"/>
              <w:numPr>
                <w:ilvl w:val="0"/>
                <w:numId w:val="6"/>
              </w:numPr>
              <w:spacing w:before="0" w:beforeAutospacing="0" w:after="0" w:afterAutospacing="0"/>
              <w:textAlignment w:val="baseline"/>
              <w:rPr>
                <w:rFonts w:ascii="Arial" w:hAnsi="Arial" w:cs="Arial"/>
                <w:color w:val="04326C"/>
                <w:sz w:val="20"/>
                <w:szCs w:val="20"/>
              </w:rPr>
            </w:pPr>
            <w:r>
              <w:rPr>
                <w:rFonts w:ascii="Arial" w:hAnsi="Arial" w:cs="Arial"/>
                <w:color w:val="04326C"/>
                <w:sz w:val="20"/>
                <w:szCs w:val="20"/>
              </w:rPr>
              <w:t>Challenges with requirements at state level/Chancellor’s office for articulation options.</w:t>
            </w:r>
            <w:r>
              <w:rPr>
                <w:rFonts w:ascii="Arial" w:hAnsi="Arial" w:cs="Arial"/>
                <w:color w:val="04326C"/>
                <w:sz w:val="20"/>
                <w:szCs w:val="20"/>
              </w:rPr>
              <w:t> </w:t>
            </w:r>
          </w:p>
        </w:tc>
      </w:tr>
    </w:tbl>
    <w:p w:rsidR="001429DF" w:rsidRDefault="001429DF" w:rsidP="001429DF">
      <w:pPr>
        <w:pStyle w:val="NormalWeb"/>
        <w:spacing w:before="0" w:beforeAutospacing="0" w:after="200" w:afterAutospacing="0"/>
      </w:pPr>
      <w:r>
        <w:rPr>
          <w:rFonts w:ascii="Arial" w:hAnsi="Arial" w:cs="Arial"/>
          <w:color w:val="000000"/>
          <w:sz w:val="22"/>
          <w:szCs w:val="22"/>
        </w:rPr>
        <w:t xml:space="preserve"> </w:t>
      </w:r>
    </w:p>
    <w:p w:rsidR="001429DF" w:rsidRDefault="001429DF" w:rsidP="001429DF">
      <w:pPr>
        <w:pStyle w:val="NormalWeb"/>
        <w:spacing w:before="0" w:beforeAutospacing="0" w:after="200" w:afterAutospacing="0"/>
      </w:pPr>
    </w:p>
    <w:p w:rsidR="001429DF" w:rsidRDefault="001429DF" w:rsidP="001429DF">
      <w:pPr>
        <w:pStyle w:val="Heading3"/>
        <w:spacing w:after="0"/>
      </w:pPr>
      <w:bookmarkStart w:id="79" w:name="_Toc10017494"/>
      <w:r>
        <w:rPr>
          <w:rFonts w:ascii="Arial" w:hAnsi="Arial" w:cs="Arial"/>
          <w:color w:val="000000"/>
        </w:rPr>
        <w:t xml:space="preserve">Goal 4: </w:t>
      </w:r>
      <w:r>
        <w:rPr>
          <w:rFonts w:ascii="Arial" w:hAnsi="Arial" w:cs="Arial"/>
        </w:rPr>
        <w:t> </w:t>
      </w:r>
      <w:r>
        <w:rPr>
          <w:rFonts w:ascii="Arial" w:hAnsi="Arial" w:cs="Arial"/>
          <w:color w:val="000000"/>
        </w:rPr>
        <w:t>Identify and address barriers to student success and completion.</w:t>
      </w:r>
      <w:bookmarkEnd w:id="79"/>
    </w:p>
    <w:p w:rsidR="001429DF" w:rsidRDefault="001429DF" w:rsidP="001429DF"/>
    <w:tbl>
      <w:tblPr>
        <w:tblW w:w="0" w:type="auto"/>
        <w:tblCellMar>
          <w:top w:w="15" w:type="dxa"/>
          <w:left w:w="15" w:type="dxa"/>
          <w:bottom w:w="15" w:type="dxa"/>
          <w:right w:w="15" w:type="dxa"/>
        </w:tblCellMar>
        <w:tblLook w:val="04A0" w:firstRow="1" w:lastRow="0" w:firstColumn="1" w:lastColumn="0" w:noHBand="0" w:noVBand="1"/>
      </w:tblPr>
      <w:tblGrid>
        <w:gridCol w:w="1818"/>
        <w:gridCol w:w="2756"/>
        <w:gridCol w:w="1893"/>
        <w:gridCol w:w="2286"/>
        <w:gridCol w:w="1814"/>
        <w:gridCol w:w="2078"/>
      </w:tblGrid>
      <w:tr w:rsidR="001429DF" w:rsidTr="001429DF">
        <w:tc>
          <w:tcPr>
            <w:tcW w:w="0" w:type="auto"/>
            <w:tcBorders>
              <w:top w:val="single" w:sz="6" w:space="0" w:color="A6A6A6"/>
              <w:left w:val="single" w:sz="6" w:space="0" w:color="A6A6A6"/>
              <w:bottom w:val="single" w:sz="6" w:space="0" w:color="A6A6A6"/>
              <w:right w:val="single" w:sz="6" w:space="0" w:color="A6A6A6"/>
            </w:tcBorders>
            <w:shd w:val="clear" w:color="auto" w:fill="002060"/>
            <w:tcMar>
              <w:top w:w="58" w:type="dxa"/>
              <w:left w:w="58" w:type="dxa"/>
              <w:bottom w:w="58" w:type="dxa"/>
              <w:right w:w="58" w:type="dxa"/>
            </w:tcMar>
            <w:vAlign w:val="center"/>
            <w:hideMark/>
          </w:tcPr>
          <w:p w:rsidR="001429DF" w:rsidRDefault="001429DF" w:rsidP="001429DF">
            <w:pPr>
              <w:pStyle w:val="NormalWeb"/>
              <w:spacing w:before="0" w:beforeAutospacing="0" w:after="0" w:afterAutospacing="0"/>
              <w:jc w:val="center"/>
            </w:pPr>
            <w:r>
              <w:rPr>
                <w:rFonts w:ascii="Arial" w:hAnsi="Arial" w:cs="Arial"/>
                <w:b/>
                <w:bCs/>
                <w:color w:val="FFFFFF"/>
                <w:sz w:val="18"/>
                <w:szCs w:val="18"/>
              </w:rPr>
              <w:t>Inputs</w:t>
            </w:r>
          </w:p>
        </w:tc>
        <w:tc>
          <w:tcPr>
            <w:tcW w:w="0" w:type="auto"/>
            <w:tcBorders>
              <w:top w:val="single" w:sz="6" w:space="0" w:color="A6A6A6"/>
              <w:left w:val="single" w:sz="6" w:space="0" w:color="A6A6A6"/>
              <w:bottom w:val="single" w:sz="6" w:space="0" w:color="A6A6A6"/>
              <w:right w:val="single" w:sz="6" w:space="0" w:color="A6A6A6"/>
            </w:tcBorders>
            <w:shd w:val="clear" w:color="auto" w:fill="621E7C"/>
            <w:tcMar>
              <w:top w:w="58" w:type="dxa"/>
              <w:left w:w="58" w:type="dxa"/>
              <w:bottom w:w="58" w:type="dxa"/>
              <w:right w:w="58" w:type="dxa"/>
            </w:tcMar>
            <w:vAlign w:val="center"/>
            <w:hideMark/>
          </w:tcPr>
          <w:p w:rsidR="001429DF" w:rsidRDefault="001429DF" w:rsidP="001429DF">
            <w:pPr>
              <w:pStyle w:val="NormalWeb"/>
              <w:spacing w:before="0" w:beforeAutospacing="0" w:after="0" w:afterAutospacing="0"/>
              <w:jc w:val="center"/>
            </w:pPr>
            <w:r>
              <w:rPr>
                <w:rFonts w:ascii="Arial" w:hAnsi="Arial" w:cs="Arial"/>
                <w:b/>
                <w:bCs/>
                <w:color w:val="FFFFFF"/>
                <w:sz w:val="18"/>
                <w:szCs w:val="18"/>
              </w:rPr>
              <w:t>Activities</w:t>
            </w:r>
          </w:p>
        </w:tc>
        <w:tc>
          <w:tcPr>
            <w:tcW w:w="0" w:type="auto"/>
            <w:tcBorders>
              <w:top w:val="single" w:sz="6" w:space="0" w:color="A6A6A6"/>
              <w:left w:val="single" w:sz="6" w:space="0" w:color="A6A6A6"/>
              <w:bottom w:val="single" w:sz="6" w:space="0" w:color="A6A6A6"/>
              <w:right w:val="single" w:sz="6" w:space="0" w:color="A6A6A6"/>
            </w:tcBorders>
            <w:shd w:val="clear" w:color="auto" w:fill="903F6C"/>
            <w:tcMar>
              <w:top w:w="58" w:type="dxa"/>
              <w:left w:w="58" w:type="dxa"/>
              <w:bottom w:w="58" w:type="dxa"/>
              <w:right w:w="58" w:type="dxa"/>
            </w:tcMar>
            <w:vAlign w:val="center"/>
            <w:hideMark/>
          </w:tcPr>
          <w:p w:rsidR="001429DF" w:rsidRDefault="001429DF" w:rsidP="001429DF">
            <w:pPr>
              <w:pStyle w:val="NormalWeb"/>
              <w:spacing w:before="0" w:beforeAutospacing="0" w:after="0" w:afterAutospacing="0"/>
              <w:jc w:val="center"/>
            </w:pPr>
            <w:r>
              <w:rPr>
                <w:rFonts w:ascii="Arial" w:hAnsi="Arial" w:cs="Arial"/>
                <w:b/>
                <w:bCs/>
                <w:color w:val="FFFFFF"/>
                <w:sz w:val="18"/>
                <w:szCs w:val="18"/>
              </w:rPr>
              <w:t>Outputs</w:t>
            </w:r>
          </w:p>
        </w:tc>
        <w:tc>
          <w:tcPr>
            <w:tcW w:w="0" w:type="auto"/>
            <w:tcBorders>
              <w:top w:val="single" w:sz="6" w:space="0" w:color="A6A6A6"/>
              <w:left w:val="single" w:sz="6" w:space="0" w:color="A6A6A6"/>
              <w:bottom w:val="single" w:sz="6" w:space="0" w:color="A6A6A6"/>
              <w:right w:val="single" w:sz="6" w:space="0" w:color="A6A6A6"/>
            </w:tcBorders>
            <w:shd w:val="clear" w:color="auto" w:fill="B76059"/>
            <w:tcMar>
              <w:top w:w="58" w:type="dxa"/>
              <w:left w:w="58" w:type="dxa"/>
              <w:bottom w:w="58" w:type="dxa"/>
              <w:right w:w="58" w:type="dxa"/>
            </w:tcMar>
            <w:vAlign w:val="center"/>
            <w:hideMark/>
          </w:tcPr>
          <w:p w:rsidR="001429DF" w:rsidRDefault="001429DF" w:rsidP="001429DF">
            <w:pPr>
              <w:pStyle w:val="NormalWeb"/>
              <w:spacing w:before="0" w:beforeAutospacing="0" w:after="0" w:afterAutospacing="0"/>
              <w:jc w:val="center"/>
            </w:pPr>
            <w:r>
              <w:rPr>
                <w:rFonts w:ascii="Arial" w:hAnsi="Arial" w:cs="Arial"/>
                <w:b/>
                <w:bCs/>
                <w:color w:val="FFFFFF"/>
                <w:sz w:val="18"/>
                <w:szCs w:val="18"/>
              </w:rPr>
              <w:t>Immediate (Short-Term) Outcomes</w:t>
            </w:r>
          </w:p>
        </w:tc>
        <w:tc>
          <w:tcPr>
            <w:tcW w:w="0" w:type="auto"/>
            <w:tcBorders>
              <w:top w:val="single" w:sz="6" w:space="0" w:color="A6A6A6"/>
              <w:left w:val="single" w:sz="6" w:space="0" w:color="A6A6A6"/>
              <w:bottom w:val="single" w:sz="6" w:space="0" w:color="A6A6A6"/>
              <w:right w:val="single" w:sz="6" w:space="0" w:color="A6A6A6"/>
            </w:tcBorders>
            <w:shd w:val="clear" w:color="auto" w:fill="DB8240"/>
            <w:tcMar>
              <w:top w:w="58" w:type="dxa"/>
              <w:left w:w="58" w:type="dxa"/>
              <w:bottom w:w="58" w:type="dxa"/>
              <w:right w:w="58" w:type="dxa"/>
            </w:tcMar>
            <w:vAlign w:val="center"/>
            <w:hideMark/>
          </w:tcPr>
          <w:p w:rsidR="001429DF" w:rsidRDefault="001429DF" w:rsidP="001429DF">
            <w:pPr>
              <w:pStyle w:val="NormalWeb"/>
              <w:spacing w:before="0" w:beforeAutospacing="0" w:after="0" w:afterAutospacing="0"/>
              <w:jc w:val="center"/>
            </w:pPr>
            <w:r>
              <w:rPr>
                <w:rFonts w:ascii="Arial" w:hAnsi="Arial" w:cs="Arial"/>
                <w:b/>
                <w:bCs/>
                <w:color w:val="FFFFFF"/>
                <w:sz w:val="18"/>
                <w:szCs w:val="18"/>
              </w:rPr>
              <w:t>Intermediate Outcomes</w:t>
            </w:r>
          </w:p>
        </w:tc>
        <w:tc>
          <w:tcPr>
            <w:tcW w:w="0" w:type="auto"/>
            <w:tcBorders>
              <w:top w:val="single" w:sz="6" w:space="0" w:color="A6A6A6"/>
              <w:left w:val="single" w:sz="6" w:space="0" w:color="A6A6A6"/>
              <w:bottom w:val="single" w:sz="6" w:space="0" w:color="A6A6A6"/>
              <w:right w:val="single" w:sz="6" w:space="0" w:color="A6A6A6"/>
            </w:tcBorders>
            <w:shd w:val="clear" w:color="auto" w:fill="FFA500"/>
            <w:tcMar>
              <w:top w:w="58" w:type="dxa"/>
              <w:left w:w="58" w:type="dxa"/>
              <w:bottom w:w="58" w:type="dxa"/>
              <w:right w:w="58" w:type="dxa"/>
            </w:tcMar>
            <w:vAlign w:val="center"/>
            <w:hideMark/>
          </w:tcPr>
          <w:p w:rsidR="001429DF" w:rsidRDefault="001429DF" w:rsidP="001429DF">
            <w:pPr>
              <w:pStyle w:val="NormalWeb"/>
              <w:spacing w:before="0" w:beforeAutospacing="0" w:after="0" w:afterAutospacing="0"/>
              <w:jc w:val="center"/>
            </w:pPr>
            <w:r>
              <w:rPr>
                <w:rFonts w:ascii="Arial" w:hAnsi="Arial" w:cs="Arial"/>
                <w:b/>
                <w:bCs/>
                <w:color w:val="FFFFFF"/>
                <w:sz w:val="18"/>
                <w:szCs w:val="18"/>
              </w:rPr>
              <w:t>Long-Term Outcomes / Impact</w:t>
            </w:r>
          </w:p>
        </w:tc>
      </w:tr>
      <w:tr w:rsidR="001429DF" w:rsidTr="001429DF">
        <w:trPr>
          <w:trHeight w:val="180"/>
        </w:trPr>
        <w:tc>
          <w:tcPr>
            <w:tcW w:w="0" w:type="auto"/>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rsidP="001429DF">
            <w:pPr>
              <w:pStyle w:val="NormalWeb"/>
              <w:spacing w:before="0" w:beforeAutospacing="0" w:after="0" w:afterAutospacing="0"/>
              <w:jc w:val="center"/>
            </w:pPr>
            <w:r>
              <w:rPr>
                <w:rFonts w:ascii="Avenir" w:hAnsi="Avenir"/>
                <w:i/>
                <w:iCs/>
                <w:color w:val="757171"/>
                <w:sz w:val="20"/>
                <w:szCs w:val="20"/>
              </w:rPr>
              <w:t>In order to accomplish our set of activities we will need the following:</w:t>
            </w:r>
          </w:p>
        </w:tc>
        <w:tc>
          <w:tcPr>
            <w:tcW w:w="0" w:type="auto"/>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rsidP="001429DF">
            <w:pPr>
              <w:pStyle w:val="NormalWeb"/>
              <w:spacing w:before="0" w:beforeAutospacing="0" w:after="0" w:afterAutospacing="0"/>
              <w:jc w:val="center"/>
            </w:pPr>
            <w:r>
              <w:rPr>
                <w:rFonts w:ascii="Avenir" w:hAnsi="Avenir"/>
                <w:i/>
                <w:iCs/>
                <w:color w:val="757171"/>
                <w:sz w:val="20"/>
                <w:szCs w:val="20"/>
              </w:rPr>
              <w:t>In order to address our problem or asset we will accomplish the following activities:</w:t>
            </w:r>
          </w:p>
        </w:tc>
        <w:tc>
          <w:tcPr>
            <w:tcW w:w="0" w:type="auto"/>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rsidP="001429DF">
            <w:pPr>
              <w:pStyle w:val="NormalWeb"/>
              <w:spacing w:before="0" w:beforeAutospacing="0" w:after="0" w:afterAutospacing="0"/>
              <w:jc w:val="center"/>
            </w:pPr>
            <w:r>
              <w:rPr>
                <w:rFonts w:ascii="Avenir" w:hAnsi="Avenir"/>
                <w:i/>
                <w:iCs/>
                <w:color w:val="757171"/>
                <w:sz w:val="20"/>
                <w:szCs w:val="20"/>
              </w:rPr>
              <w:t>We expect that once accomplished, these activities will produce the following evidence or service delivery:</w:t>
            </w:r>
          </w:p>
        </w:tc>
        <w:tc>
          <w:tcPr>
            <w:tcW w:w="0" w:type="auto"/>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rsidP="001429DF">
            <w:pPr>
              <w:pStyle w:val="NormalWeb"/>
              <w:spacing w:before="0" w:beforeAutospacing="0" w:after="0" w:afterAutospacing="0"/>
              <w:jc w:val="center"/>
            </w:pPr>
            <w:r>
              <w:rPr>
                <w:rFonts w:ascii="Avenir" w:hAnsi="Avenir"/>
                <w:i/>
                <w:iCs/>
                <w:color w:val="757171"/>
                <w:sz w:val="20"/>
                <w:szCs w:val="20"/>
              </w:rPr>
              <w:t>We expect that if accomplished these activities will lead to the following changes in the next year</w:t>
            </w:r>
          </w:p>
        </w:tc>
        <w:tc>
          <w:tcPr>
            <w:tcW w:w="0" w:type="auto"/>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rsidP="001429DF">
            <w:pPr>
              <w:pStyle w:val="NormalWeb"/>
              <w:spacing w:before="0" w:beforeAutospacing="0" w:after="0" w:afterAutospacing="0"/>
              <w:jc w:val="center"/>
            </w:pPr>
            <w:r>
              <w:rPr>
                <w:rFonts w:ascii="Avenir" w:hAnsi="Avenir"/>
                <w:i/>
                <w:iCs/>
                <w:color w:val="757171"/>
                <w:sz w:val="20"/>
                <w:szCs w:val="20"/>
              </w:rPr>
              <w:t>We expect that if accomplished these activities will lead to the following changes in 1-3 years</w:t>
            </w:r>
          </w:p>
        </w:tc>
        <w:tc>
          <w:tcPr>
            <w:tcW w:w="0" w:type="auto"/>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rsidP="001429DF">
            <w:pPr>
              <w:pStyle w:val="NormalWeb"/>
              <w:spacing w:before="0" w:beforeAutospacing="0" w:after="0" w:afterAutospacing="0"/>
              <w:jc w:val="center"/>
            </w:pPr>
            <w:r>
              <w:rPr>
                <w:rFonts w:ascii="Avenir" w:hAnsi="Avenir"/>
                <w:i/>
                <w:iCs/>
                <w:color w:val="757171"/>
                <w:sz w:val="20"/>
                <w:szCs w:val="20"/>
              </w:rPr>
              <w:t>We expect that if accomplished these activities will lead to the following changes in 3-5 years</w:t>
            </w:r>
          </w:p>
        </w:tc>
      </w:tr>
      <w:tr w:rsidR="001429DF" w:rsidTr="001429DF">
        <w:trPr>
          <w:trHeight w:val="4240"/>
        </w:trPr>
        <w:tc>
          <w:tcPr>
            <w:tcW w:w="0" w:type="auto"/>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rsidP="001429DF">
            <w:pPr>
              <w:pStyle w:val="NormalWeb"/>
              <w:spacing w:before="0" w:beforeAutospacing="0" w:after="0" w:afterAutospacing="0"/>
            </w:pPr>
            <w:r>
              <w:rPr>
                <w:rFonts w:ascii="Calibri" w:hAnsi="Calibri" w:cs="Calibri"/>
                <w:color w:val="04326C"/>
                <w:sz w:val="20"/>
                <w:szCs w:val="20"/>
              </w:rPr>
              <w:t>1.</w:t>
            </w:r>
            <w:proofErr w:type="gramStart"/>
            <w:r>
              <w:rPr>
                <w:rFonts w:ascii="Calibri" w:hAnsi="Calibri" w:cs="Calibri"/>
                <w:color w:val="04326C"/>
                <w:sz w:val="20"/>
                <w:szCs w:val="20"/>
              </w:rPr>
              <w:t>Data  of</w:t>
            </w:r>
            <w:proofErr w:type="gramEnd"/>
            <w:r>
              <w:rPr>
                <w:rFonts w:ascii="Calibri" w:hAnsi="Calibri" w:cs="Calibri"/>
                <w:color w:val="04326C"/>
                <w:sz w:val="20"/>
                <w:szCs w:val="20"/>
              </w:rPr>
              <w:t xml:space="preserve"> current student outcomes, completion rates, test scores, etc.</w:t>
            </w:r>
          </w:p>
          <w:p w:rsidR="001429DF" w:rsidRDefault="001429DF" w:rsidP="001429DF"/>
          <w:p w:rsidR="001429DF" w:rsidRDefault="001429DF" w:rsidP="001429DF">
            <w:pPr>
              <w:pStyle w:val="NormalWeb"/>
              <w:spacing w:before="0" w:beforeAutospacing="0" w:after="0" w:afterAutospacing="0"/>
            </w:pPr>
            <w:r>
              <w:rPr>
                <w:rFonts w:ascii="Calibri" w:hAnsi="Calibri" w:cs="Calibri"/>
                <w:color w:val="04326C"/>
                <w:sz w:val="20"/>
                <w:szCs w:val="20"/>
              </w:rPr>
              <w:t>2. Data and information from industry to understand needs for workforce.</w:t>
            </w:r>
          </w:p>
          <w:p w:rsidR="001429DF" w:rsidRDefault="001429DF" w:rsidP="001429DF"/>
          <w:p w:rsidR="001429DF" w:rsidRDefault="001429DF" w:rsidP="001429DF">
            <w:pPr>
              <w:pStyle w:val="NormalWeb"/>
              <w:spacing w:before="0" w:beforeAutospacing="0" w:after="0" w:afterAutospacing="0"/>
            </w:pPr>
            <w:r>
              <w:rPr>
                <w:rFonts w:ascii="Calibri" w:hAnsi="Calibri" w:cs="Calibri"/>
                <w:color w:val="04326C"/>
                <w:sz w:val="20"/>
                <w:szCs w:val="20"/>
              </w:rPr>
              <w:t xml:space="preserve">3.Work with regional resource partners to identify most common barriers preventing our students from completing their educational goals. </w:t>
            </w:r>
          </w:p>
          <w:p w:rsidR="001429DF" w:rsidRDefault="001429DF" w:rsidP="001429DF">
            <w:pPr>
              <w:spacing w:after="240"/>
            </w:pPr>
          </w:p>
        </w:tc>
        <w:tc>
          <w:tcPr>
            <w:tcW w:w="0" w:type="auto"/>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rsidP="001429DF">
            <w:pPr>
              <w:pStyle w:val="NormalWeb"/>
              <w:spacing w:before="0" w:beforeAutospacing="0" w:after="0" w:afterAutospacing="0"/>
            </w:pPr>
            <w:r>
              <w:rPr>
                <w:rFonts w:ascii="Calibri" w:hAnsi="Calibri" w:cs="Calibri"/>
                <w:color w:val="04326C"/>
                <w:sz w:val="20"/>
                <w:szCs w:val="20"/>
              </w:rPr>
              <w:t>Activity 1: Determine skill levels and needs of current students in relation to educational and career goals.</w:t>
            </w:r>
          </w:p>
          <w:p w:rsidR="001429DF" w:rsidRDefault="001429DF" w:rsidP="001429DF"/>
          <w:p w:rsidR="001429DF" w:rsidRDefault="001429DF" w:rsidP="001429DF">
            <w:pPr>
              <w:pStyle w:val="NormalWeb"/>
              <w:spacing w:before="0" w:beforeAutospacing="0" w:after="0" w:afterAutospacing="0"/>
            </w:pPr>
            <w:r>
              <w:rPr>
                <w:rFonts w:ascii="Calibri" w:hAnsi="Calibri" w:cs="Calibri"/>
                <w:color w:val="04326C"/>
                <w:sz w:val="20"/>
                <w:szCs w:val="20"/>
              </w:rPr>
              <w:t>Activity 2: Analysis of student data to determine barriers and deficiencies and needs of workforce and/or college.</w:t>
            </w:r>
          </w:p>
          <w:p w:rsidR="001429DF" w:rsidRDefault="001429DF" w:rsidP="001429DF"/>
          <w:p w:rsidR="001429DF" w:rsidRDefault="001429DF" w:rsidP="001429DF">
            <w:pPr>
              <w:pStyle w:val="NormalWeb"/>
              <w:spacing w:before="0" w:beforeAutospacing="0" w:after="0" w:afterAutospacing="0"/>
            </w:pPr>
            <w:r>
              <w:rPr>
                <w:rFonts w:ascii="Calibri" w:hAnsi="Calibri" w:cs="Calibri"/>
                <w:color w:val="04326C"/>
                <w:sz w:val="20"/>
                <w:szCs w:val="20"/>
              </w:rPr>
              <w:t>Activity 3:  Update map of services and resources. Hold planning session to reconnect with partners on this subject. Explore Cal-PASS Plus Data to inform barriers.  Identify best methods for communicating with partners and students.</w:t>
            </w:r>
          </w:p>
          <w:p w:rsidR="001429DF" w:rsidRDefault="001429DF" w:rsidP="001429DF">
            <w:pPr>
              <w:spacing w:after="240"/>
            </w:pPr>
            <w:r>
              <w:br/>
            </w:r>
            <w:r>
              <w:rPr>
                <w:rFonts w:ascii="Calibri" w:hAnsi="Calibri" w:cs="Calibri"/>
                <w:color w:val="04326C"/>
                <w:sz w:val="20"/>
                <w:szCs w:val="20"/>
              </w:rPr>
              <w:t> </w:t>
            </w:r>
          </w:p>
        </w:tc>
        <w:tc>
          <w:tcPr>
            <w:tcW w:w="0" w:type="auto"/>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rsidP="001429DF">
            <w:pPr>
              <w:pStyle w:val="NormalWeb"/>
              <w:spacing w:before="0" w:beforeAutospacing="0" w:after="0" w:afterAutospacing="0"/>
            </w:pPr>
            <w:r>
              <w:rPr>
                <w:rFonts w:ascii="Calibri" w:hAnsi="Calibri" w:cs="Calibri"/>
                <w:color w:val="04326C"/>
                <w:sz w:val="20"/>
                <w:szCs w:val="20"/>
              </w:rPr>
              <w:t>1. Curriculum changes to address barriers uncovered.</w:t>
            </w:r>
            <w:r>
              <w:rPr>
                <w:rFonts w:ascii="Calibri" w:hAnsi="Calibri" w:cs="Calibri"/>
                <w:color w:val="04326C"/>
                <w:sz w:val="20"/>
                <w:szCs w:val="20"/>
              </w:rPr>
              <w:t> </w:t>
            </w:r>
          </w:p>
          <w:p w:rsidR="001429DF" w:rsidRDefault="001429DF" w:rsidP="001429DF"/>
          <w:p w:rsidR="001429DF" w:rsidRDefault="001429DF" w:rsidP="001429DF">
            <w:pPr>
              <w:pStyle w:val="NormalWeb"/>
              <w:spacing w:before="0" w:beforeAutospacing="0" w:after="0" w:afterAutospacing="0"/>
            </w:pPr>
            <w:r>
              <w:rPr>
                <w:rFonts w:ascii="Calibri" w:hAnsi="Calibri" w:cs="Calibri"/>
                <w:color w:val="04326C"/>
                <w:sz w:val="20"/>
                <w:szCs w:val="20"/>
              </w:rPr>
              <w:t xml:space="preserve">2. Collaboration with industry and college faculty to align curriculum and create courses to address barriers or meet needs. </w:t>
            </w:r>
          </w:p>
        </w:tc>
        <w:tc>
          <w:tcPr>
            <w:tcW w:w="0" w:type="auto"/>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rsidP="001429DF">
            <w:pPr>
              <w:pStyle w:val="NormalWeb"/>
              <w:spacing w:before="0" w:beforeAutospacing="0" w:after="0" w:afterAutospacing="0"/>
            </w:pPr>
            <w:r>
              <w:rPr>
                <w:rFonts w:ascii="Calibri" w:hAnsi="Calibri" w:cs="Calibri"/>
                <w:color w:val="04326C"/>
                <w:sz w:val="20"/>
                <w:szCs w:val="20"/>
              </w:rPr>
              <w:t xml:space="preserve">1. Develop and offer new or additional courses that address identified barriers. </w:t>
            </w:r>
          </w:p>
          <w:p w:rsidR="001429DF" w:rsidRDefault="001429DF" w:rsidP="001429DF">
            <w:pPr>
              <w:pStyle w:val="NormalWeb"/>
              <w:spacing w:before="0" w:beforeAutospacing="0" w:after="0" w:afterAutospacing="0"/>
            </w:pPr>
            <w:r>
              <w:rPr>
                <w:rFonts w:ascii="Calibri" w:hAnsi="Calibri" w:cs="Calibri"/>
                <w:color w:val="04326C"/>
                <w:sz w:val="20"/>
                <w:szCs w:val="20"/>
              </w:rPr>
              <w:t xml:space="preserve"> </w:t>
            </w:r>
          </w:p>
          <w:p w:rsidR="001429DF" w:rsidRDefault="001429DF" w:rsidP="001429DF">
            <w:pPr>
              <w:pStyle w:val="NormalWeb"/>
              <w:spacing w:before="0" w:beforeAutospacing="0" w:after="0" w:afterAutospacing="0"/>
            </w:pPr>
            <w:r>
              <w:rPr>
                <w:rFonts w:ascii="Calibri" w:hAnsi="Calibri" w:cs="Calibri"/>
                <w:color w:val="04326C"/>
                <w:sz w:val="20"/>
                <w:szCs w:val="20"/>
              </w:rPr>
              <w:t>2. Potential pilots: Add contextualized courses at the adult schools (examples: PSA Medical Math has been launched to support Healthcare courses). Construction math in development.</w:t>
            </w:r>
          </w:p>
        </w:tc>
        <w:tc>
          <w:tcPr>
            <w:tcW w:w="0" w:type="auto"/>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rsidP="001429DF">
            <w:pPr>
              <w:pStyle w:val="NormalWeb"/>
              <w:spacing w:before="0" w:beforeAutospacing="0" w:after="0" w:afterAutospacing="0"/>
            </w:pPr>
            <w:r>
              <w:rPr>
                <w:rFonts w:ascii="Calibri" w:hAnsi="Calibri" w:cs="Calibri"/>
                <w:color w:val="04326C"/>
                <w:sz w:val="20"/>
                <w:szCs w:val="20"/>
              </w:rPr>
              <w:t>1.Students have gained the skills and competencies needed to succeed in their career and/or educational goals.</w:t>
            </w:r>
            <w:r>
              <w:rPr>
                <w:rFonts w:ascii="Calibri" w:hAnsi="Calibri" w:cs="Calibri"/>
                <w:color w:val="04326C"/>
                <w:sz w:val="20"/>
                <w:szCs w:val="20"/>
              </w:rPr>
              <w:t> </w:t>
            </w:r>
          </w:p>
          <w:p w:rsidR="001429DF" w:rsidRDefault="001429DF" w:rsidP="001429DF"/>
          <w:p w:rsidR="001429DF" w:rsidRDefault="001429DF" w:rsidP="001429DF">
            <w:pPr>
              <w:pStyle w:val="NormalWeb"/>
              <w:spacing w:before="0" w:beforeAutospacing="0" w:after="0" w:afterAutospacing="0"/>
            </w:pPr>
            <w:r>
              <w:rPr>
                <w:rFonts w:ascii="Calibri" w:hAnsi="Calibri" w:cs="Calibri"/>
                <w:color w:val="04326C"/>
                <w:sz w:val="20"/>
                <w:szCs w:val="20"/>
              </w:rPr>
              <w:t> </w:t>
            </w:r>
            <w:r>
              <w:rPr>
                <w:rFonts w:ascii="Calibri" w:hAnsi="Calibri" w:cs="Calibri"/>
                <w:color w:val="04326C"/>
                <w:sz w:val="20"/>
                <w:szCs w:val="20"/>
              </w:rPr>
              <w:t> </w:t>
            </w:r>
          </w:p>
        </w:tc>
        <w:tc>
          <w:tcPr>
            <w:tcW w:w="0" w:type="auto"/>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rsidP="001429DF">
            <w:pPr>
              <w:pStyle w:val="NormalWeb"/>
              <w:spacing w:before="0" w:beforeAutospacing="0" w:after="0" w:afterAutospacing="0"/>
            </w:pPr>
            <w:r>
              <w:rPr>
                <w:rFonts w:ascii="Calibri" w:hAnsi="Calibri" w:cs="Calibri"/>
                <w:color w:val="04326C"/>
                <w:sz w:val="20"/>
                <w:szCs w:val="20"/>
              </w:rPr>
              <w:t xml:space="preserve">1.Increase student attainment of identified education and/or </w:t>
            </w:r>
            <w:proofErr w:type="gramStart"/>
            <w:r>
              <w:rPr>
                <w:rFonts w:ascii="Calibri" w:hAnsi="Calibri" w:cs="Calibri"/>
                <w:color w:val="04326C"/>
                <w:sz w:val="20"/>
                <w:szCs w:val="20"/>
              </w:rPr>
              <w:t>career  goals</w:t>
            </w:r>
            <w:proofErr w:type="gramEnd"/>
          </w:p>
          <w:p w:rsidR="001429DF" w:rsidRDefault="001429DF" w:rsidP="001429DF"/>
          <w:p w:rsidR="001429DF" w:rsidRDefault="001429DF" w:rsidP="001429DF">
            <w:pPr>
              <w:pStyle w:val="NormalWeb"/>
              <w:spacing w:before="0" w:beforeAutospacing="0" w:after="0" w:afterAutospacing="0"/>
            </w:pPr>
            <w:r>
              <w:rPr>
                <w:rFonts w:ascii="Calibri" w:hAnsi="Calibri" w:cs="Calibri"/>
                <w:color w:val="04326C"/>
                <w:sz w:val="20"/>
                <w:szCs w:val="20"/>
              </w:rPr>
              <w:t>2.Increase student attainment of diploma, industry recognized certifications, job entry, increase wages in careers, and/or increase entry in college-level programs.</w:t>
            </w:r>
          </w:p>
        </w:tc>
      </w:tr>
    </w:tbl>
    <w:p w:rsidR="001429DF" w:rsidRDefault="001429DF" w:rsidP="001429DF"/>
    <w:p w:rsidR="00521425" w:rsidRDefault="00521425" w:rsidP="001429DF"/>
    <w:tbl>
      <w:tblPr>
        <w:tblW w:w="0" w:type="auto"/>
        <w:tblCellMar>
          <w:top w:w="15" w:type="dxa"/>
          <w:left w:w="15" w:type="dxa"/>
          <w:bottom w:w="15" w:type="dxa"/>
          <w:right w:w="15" w:type="dxa"/>
        </w:tblCellMar>
        <w:tblLook w:val="04A0" w:firstRow="1" w:lastRow="0" w:firstColumn="1" w:lastColumn="0" w:noHBand="0" w:noVBand="1"/>
      </w:tblPr>
      <w:tblGrid>
        <w:gridCol w:w="7340"/>
        <w:gridCol w:w="4525"/>
      </w:tblGrid>
      <w:tr w:rsidR="001429DF" w:rsidTr="001429DF">
        <w:trPr>
          <w:trHeight w:val="660"/>
        </w:trPr>
        <w:tc>
          <w:tcPr>
            <w:tcW w:w="0" w:type="auto"/>
            <w:tcBorders>
              <w:top w:val="single" w:sz="6" w:space="0" w:color="A6A6A6"/>
              <w:left w:val="single" w:sz="6" w:space="0" w:color="A6A6A6"/>
              <w:bottom w:val="single" w:sz="6" w:space="0" w:color="A6A6A6"/>
              <w:right w:val="single" w:sz="6" w:space="0" w:color="A6A6A6"/>
            </w:tcBorders>
            <w:shd w:val="clear" w:color="auto" w:fill="808080"/>
            <w:tcMar>
              <w:top w:w="58" w:type="dxa"/>
              <w:left w:w="58" w:type="dxa"/>
              <w:bottom w:w="58" w:type="dxa"/>
              <w:right w:w="58" w:type="dxa"/>
            </w:tcMar>
            <w:vAlign w:val="center"/>
            <w:hideMark/>
          </w:tcPr>
          <w:p w:rsidR="001429DF" w:rsidRDefault="001429DF" w:rsidP="001429DF">
            <w:pPr>
              <w:pStyle w:val="NormalWeb"/>
              <w:spacing w:before="0" w:beforeAutospacing="0" w:after="0" w:afterAutospacing="0"/>
              <w:jc w:val="center"/>
            </w:pPr>
            <w:r>
              <w:rPr>
                <w:rFonts w:ascii="Arial" w:hAnsi="Arial" w:cs="Arial"/>
                <w:b/>
                <w:bCs/>
                <w:color w:val="FFFFFF"/>
                <w:sz w:val="20"/>
                <w:szCs w:val="20"/>
              </w:rPr>
              <w:t>Assumptions</w:t>
            </w:r>
          </w:p>
        </w:tc>
        <w:tc>
          <w:tcPr>
            <w:tcW w:w="0" w:type="auto"/>
            <w:tcBorders>
              <w:top w:val="single" w:sz="6" w:space="0" w:color="A6A6A6"/>
              <w:left w:val="single" w:sz="6" w:space="0" w:color="A6A6A6"/>
              <w:bottom w:val="single" w:sz="6" w:space="0" w:color="A6A6A6"/>
              <w:right w:val="single" w:sz="6" w:space="0" w:color="A6A6A6"/>
            </w:tcBorders>
            <w:shd w:val="clear" w:color="auto" w:fill="808080"/>
            <w:tcMar>
              <w:top w:w="58" w:type="dxa"/>
              <w:left w:w="58" w:type="dxa"/>
              <w:bottom w:w="58" w:type="dxa"/>
              <w:right w:w="58" w:type="dxa"/>
            </w:tcMar>
            <w:vAlign w:val="center"/>
            <w:hideMark/>
          </w:tcPr>
          <w:p w:rsidR="001429DF" w:rsidRDefault="001429DF" w:rsidP="001429DF">
            <w:pPr>
              <w:pStyle w:val="NormalWeb"/>
              <w:spacing w:before="0" w:beforeAutospacing="0" w:after="0" w:afterAutospacing="0"/>
              <w:jc w:val="center"/>
            </w:pPr>
            <w:r>
              <w:rPr>
                <w:rFonts w:ascii="Arial" w:hAnsi="Arial" w:cs="Arial"/>
                <w:b/>
                <w:bCs/>
                <w:color w:val="FFFFFF"/>
                <w:sz w:val="20"/>
                <w:szCs w:val="20"/>
              </w:rPr>
              <w:t>External Factors</w:t>
            </w:r>
          </w:p>
        </w:tc>
      </w:tr>
      <w:tr w:rsidR="001429DF" w:rsidTr="00FF335C">
        <w:trPr>
          <w:trHeight w:val="1160"/>
        </w:trPr>
        <w:tc>
          <w:tcPr>
            <w:tcW w:w="0" w:type="auto"/>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rsidP="001429DF">
            <w:pPr>
              <w:pStyle w:val="NormalWeb"/>
              <w:numPr>
                <w:ilvl w:val="0"/>
                <w:numId w:val="4"/>
              </w:numPr>
              <w:spacing w:before="0" w:beforeAutospacing="0" w:after="0" w:afterAutospacing="0"/>
              <w:textAlignment w:val="baseline"/>
              <w:rPr>
                <w:rFonts w:ascii="Calibri" w:hAnsi="Calibri" w:cs="Calibri"/>
                <w:color w:val="04326C"/>
                <w:sz w:val="20"/>
                <w:szCs w:val="20"/>
              </w:rPr>
            </w:pPr>
            <w:r>
              <w:rPr>
                <w:rFonts w:ascii="Calibri" w:hAnsi="Calibri" w:cs="Calibri"/>
                <w:color w:val="04326C"/>
                <w:sz w:val="20"/>
                <w:szCs w:val="20"/>
              </w:rPr>
              <w:t>Adult education students have unique barriers and require specialized supports.</w:t>
            </w:r>
            <w:r>
              <w:rPr>
                <w:rFonts w:ascii="Calibri" w:hAnsi="Calibri" w:cs="Calibri"/>
                <w:color w:val="04326C"/>
                <w:sz w:val="20"/>
                <w:szCs w:val="20"/>
              </w:rPr>
              <w:t> </w:t>
            </w:r>
            <w:r>
              <w:rPr>
                <w:rFonts w:ascii="Calibri" w:hAnsi="Calibri" w:cs="Calibri"/>
                <w:color w:val="04326C"/>
                <w:sz w:val="20"/>
                <w:szCs w:val="20"/>
              </w:rPr>
              <w:t> </w:t>
            </w:r>
            <w:r>
              <w:rPr>
                <w:rFonts w:ascii="Calibri" w:hAnsi="Calibri" w:cs="Calibri"/>
                <w:color w:val="04326C"/>
                <w:sz w:val="20"/>
                <w:szCs w:val="20"/>
              </w:rPr>
              <w:t> </w:t>
            </w:r>
            <w:r>
              <w:rPr>
                <w:rFonts w:ascii="Calibri" w:hAnsi="Calibri" w:cs="Calibri"/>
                <w:color w:val="04326C"/>
                <w:sz w:val="20"/>
                <w:szCs w:val="20"/>
              </w:rPr>
              <w:t> </w:t>
            </w:r>
          </w:p>
          <w:p w:rsidR="001429DF" w:rsidRDefault="001429DF" w:rsidP="001429DF">
            <w:pPr>
              <w:pStyle w:val="NormalWeb"/>
              <w:numPr>
                <w:ilvl w:val="0"/>
                <w:numId w:val="4"/>
              </w:numPr>
              <w:spacing w:before="0" w:beforeAutospacing="0" w:after="0" w:afterAutospacing="0"/>
              <w:textAlignment w:val="baseline"/>
              <w:rPr>
                <w:rFonts w:ascii="Calibri" w:hAnsi="Calibri" w:cs="Calibri"/>
                <w:color w:val="04326C"/>
                <w:sz w:val="20"/>
                <w:szCs w:val="20"/>
              </w:rPr>
            </w:pPr>
            <w:r>
              <w:rPr>
                <w:rFonts w:ascii="Calibri" w:hAnsi="Calibri" w:cs="Calibri"/>
                <w:color w:val="04326C"/>
                <w:sz w:val="20"/>
                <w:szCs w:val="20"/>
              </w:rPr>
              <w:t>Industry and postsecondary will be willing to collaborate</w:t>
            </w:r>
          </w:p>
          <w:p w:rsidR="001429DF" w:rsidRDefault="001429DF" w:rsidP="001429DF">
            <w:pPr>
              <w:pStyle w:val="NormalWeb"/>
              <w:numPr>
                <w:ilvl w:val="0"/>
                <w:numId w:val="4"/>
              </w:numPr>
              <w:spacing w:before="0" w:beforeAutospacing="0" w:after="0" w:afterAutospacing="0"/>
              <w:textAlignment w:val="baseline"/>
              <w:rPr>
                <w:rFonts w:ascii="Calibri" w:hAnsi="Calibri" w:cs="Calibri"/>
                <w:color w:val="04326C"/>
                <w:sz w:val="20"/>
                <w:szCs w:val="20"/>
              </w:rPr>
            </w:pPr>
            <w:r>
              <w:rPr>
                <w:rFonts w:ascii="Calibri" w:hAnsi="Calibri" w:cs="Calibri"/>
                <w:color w:val="04326C"/>
                <w:sz w:val="20"/>
                <w:szCs w:val="20"/>
              </w:rPr>
              <w:t>Stable funding.</w:t>
            </w:r>
          </w:p>
          <w:p w:rsidR="001429DF" w:rsidRDefault="001429DF" w:rsidP="001429DF">
            <w:pPr>
              <w:pStyle w:val="NormalWeb"/>
              <w:numPr>
                <w:ilvl w:val="0"/>
                <w:numId w:val="4"/>
              </w:numPr>
              <w:spacing w:before="0" w:beforeAutospacing="0" w:after="0" w:afterAutospacing="0"/>
              <w:textAlignment w:val="baseline"/>
              <w:rPr>
                <w:rFonts w:ascii="Calibri" w:hAnsi="Calibri" w:cs="Calibri"/>
                <w:color w:val="04326C"/>
                <w:sz w:val="20"/>
                <w:szCs w:val="20"/>
              </w:rPr>
            </w:pPr>
            <w:r>
              <w:rPr>
                <w:rFonts w:ascii="Calibri" w:hAnsi="Calibri" w:cs="Calibri"/>
                <w:color w:val="04326C"/>
                <w:sz w:val="20"/>
                <w:szCs w:val="20"/>
              </w:rPr>
              <w:t>Students have career and/or educational goals</w:t>
            </w:r>
            <w:r w:rsidR="00FF335C">
              <w:rPr>
                <w:rFonts w:ascii="Calibri" w:hAnsi="Calibri" w:cs="Calibri"/>
                <w:color w:val="04326C"/>
                <w:sz w:val="20"/>
                <w:szCs w:val="20"/>
              </w:rPr>
              <w:t xml:space="preserve"> </w:t>
            </w:r>
          </w:p>
        </w:tc>
        <w:tc>
          <w:tcPr>
            <w:tcW w:w="0" w:type="auto"/>
            <w:tcBorders>
              <w:top w:val="single" w:sz="6" w:space="0" w:color="A6A6A6"/>
              <w:left w:val="single" w:sz="6" w:space="0" w:color="A6A6A6"/>
              <w:bottom w:val="single" w:sz="6" w:space="0" w:color="A6A6A6"/>
              <w:right w:val="single" w:sz="6" w:space="0" w:color="A6A6A6"/>
            </w:tcBorders>
            <w:tcMar>
              <w:top w:w="58" w:type="dxa"/>
              <w:left w:w="58" w:type="dxa"/>
              <w:bottom w:w="58" w:type="dxa"/>
              <w:right w:w="58" w:type="dxa"/>
            </w:tcMar>
            <w:hideMark/>
          </w:tcPr>
          <w:p w:rsidR="001429DF" w:rsidRDefault="001429DF" w:rsidP="001429DF">
            <w:pPr>
              <w:pStyle w:val="NormalWeb"/>
              <w:numPr>
                <w:ilvl w:val="0"/>
                <w:numId w:val="5"/>
              </w:numPr>
              <w:spacing w:before="0" w:beforeAutospacing="0" w:after="0" w:afterAutospacing="0"/>
              <w:textAlignment w:val="baseline"/>
              <w:rPr>
                <w:rFonts w:ascii="Calibri" w:hAnsi="Calibri" w:cs="Calibri"/>
                <w:color w:val="04326C"/>
                <w:sz w:val="20"/>
                <w:szCs w:val="20"/>
              </w:rPr>
            </w:pPr>
            <w:r>
              <w:rPr>
                <w:rFonts w:ascii="Calibri" w:hAnsi="Calibri" w:cs="Calibri"/>
                <w:color w:val="04326C"/>
                <w:sz w:val="20"/>
                <w:szCs w:val="20"/>
              </w:rPr>
              <w:t>Identified barriers may be fluid over time.</w:t>
            </w:r>
            <w:r>
              <w:rPr>
                <w:rFonts w:ascii="Calibri" w:hAnsi="Calibri" w:cs="Calibri"/>
                <w:color w:val="04326C"/>
                <w:sz w:val="20"/>
                <w:szCs w:val="20"/>
              </w:rPr>
              <w:t> </w:t>
            </w:r>
            <w:r>
              <w:rPr>
                <w:rFonts w:ascii="Calibri" w:hAnsi="Calibri" w:cs="Calibri"/>
                <w:color w:val="04326C"/>
                <w:sz w:val="20"/>
                <w:szCs w:val="20"/>
              </w:rPr>
              <w:t> </w:t>
            </w:r>
            <w:r>
              <w:rPr>
                <w:rFonts w:ascii="Calibri" w:hAnsi="Calibri" w:cs="Calibri"/>
                <w:color w:val="04326C"/>
                <w:sz w:val="20"/>
                <w:szCs w:val="20"/>
              </w:rPr>
              <w:t> </w:t>
            </w:r>
            <w:r>
              <w:rPr>
                <w:rFonts w:ascii="Calibri" w:hAnsi="Calibri" w:cs="Calibri"/>
                <w:color w:val="04326C"/>
                <w:sz w:val="20"/>
                <w:szCs w:val="20"/>
              </w:rPr>
              <w:t> </w:t>
            </w:r>
            <w:r>
              <w:rPr>
                <w:rFonts w:ascii="Calibri" w:hAnsi="Calibri" w:cs="Calibri"/>
                <w:color w:val="04326C"/>
                <w:sz w:val="20"/>
                <w:szCs w:val="20"/>
              </w:rPr>
              <w:t> </w:t>
            </w:r>
          </w:p>
          <w:p w:rsidR="001429DF" w:rsidRDefault="001429DF" w:rsidP="001429DF">
            <w:pPr>
              <w:pStyle w:val="NormalWeb"/>
              <w:numPr>
                <w:ilvl w:val="0"/>
                <w:numId w:val="5"/>
              </w:numPr>
              <w:spacing w:before="0" w:beforeAutospacing="0" w:after="0" w:afterAutospacing="0"/>
              <w:textAlignment w:val="baseline"/>
              <w:rPr>
                <w:rFonts w:ascii="Calibri" w:hAnsi="Calibri" w:cs="Calibri"/>
                <w:color w:val="04326C"/>
                <w:sz w:val="20"/>
                <w:szCs w:val="20"/>
              </w:rPr>
            </w:pPr>
            <w:r>
              <w:rPr>
                <w:rFonts w:ascii="Calibri" w:hAnsi="Calibri" w:cs="Calibri"/>
                <w:color w:val="04326C"/>
                <w:sz w:val="20"/>
                <w:szCs w:val="20"/>
              </w:rPr>
              <w:t>Economy, unemployment rate, state funding.</w:t>
            </w:r>
          </w:p>
        </w:tc>
      </w:tr>
    </w:tbl>
    <w:p w:rsidR="001429DF" w:rsidRDefault="001429DF">
      <w:pPr>
        <w:rPr>
          <w:b/>
          <w:sz w:val="24"/>
          <w:szCs w:val="24"/>
        </w:rPr>
      </w:pPr>
    </w:p>
    <w:p w:rsidR="00670492" w:rsidRDefault="00670492">
      <w:pPr>
        <w:pStyle w:val="Heading3"/>
      </w:pPr>
    </w:p>
    <w:p w:rsidR="00670492" w:rsidRDefault="00670492">
      <w:pPr>
        <w:pStyle w:val="Heading3"/>
      </w:pPr>
    </w:p>
    <w:p w:rsidR="00670492" w:rsidRDefault="00670492">
      <w:pPr>
        <w:rPr>
          <w:i/>
          <w:color w:val="757171"/>
          <w:sz w:val="16"/>
          <w:szCs w:val="16"/>
        </w:rPr>
      </w:pPr>
    </w:p>
    <w:p w:rsidR="00670492" w:rsidRDefault="001429DF">
      <w:pPr>
        <w:widowControl w:val="0"/>
        <w:pBdr>
          <w:top w:val="nil"/>
          <w:left w:val="nil"/>
          <w:bottom w:val="nil"/>
          <w:right w:val="nil"/>
          <w:between w:val="nil"/>
        </w:pBdr>
        <w:spacing w:after="0"/>
        <w:sectPr w:rsidR="00670492" w:rsidSect="001429DF">
          <w:pgSz w:w="15840" w:h="12240" w:orient="landscape"/>
          <w:pgMar w:top="1440" w:right="1739" w:bottom="1080" w:left="1440" w:header="720" w:footer="720" w:gutter="0"/>
          <w:cols w:space="720"/>
          <w:docGrid w:linePitch="299"/>
        </w:sectPr>
      </w:pPr>
      <w:r>
        <w:br w:type="page"/>
      </w:r>
    </w:p>
    <w:p w:rsidR="00670492" w:rsidRPr="00266915" w:rsidRDefault="001429DF">
      <w:pPr>
        <w:pStyle w:val="Heading3"/>
        <w:rPr>
          <w:rFonts w:ascii="Arial" w:hAnsi="Arial" w:cs="Arial"/>
          <w:color w:val="auto"/>
        </w:rPr>
      </w:pPr>
      <w:bookmarkStart w:id="80" w:name="_Toc10017495"/>
      <w:r w:rsidRPr="00266915">
        <w:rPr>
          <w:rFonts w:ascii="Arial" w:hAnsi="Arial" w:cs="Arial"/>
          <w:color w:val="auto"/>
        </w:rPr>
        <w:lastRenderedPageBreak/>
        <w:t>Table 3. Progress Indicators</w:t>
      </w:r>
      <w:bookmarkEnd w:id="80"/>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B75B07" w:rsidRPr="00266915">
        <w:tc>
          <w:tcPr>
            <w:tcW w:w="945" w:type="dxa"/>
            <w:tcBorders>
              <w:top w:val="nil"/>
              <w:left w:val="nil"/>
              <w:bottom w:val="nil"/>
              <w:right w:val="nil"/>
            </w:tcBorders>
            <w:shd w:val="clear" w:color="auto" w:fill="auto"/>
            <w:tcMar>
              <w:top w:w="100" w:type="dxa"/>
              <w:left w:w="100" w:type="dxa"/>
              <w:bottom w:w="100" w:type="dxa"/>
              <w:right w:w="100" w:type="dxa"/>
            </w:tcMar>
          </w:tcPr>
          <w:p w:rsidR="00670492" w:rsidRPr="00266915" w:rsidRDefault="00670492" w:rsidP="00B75B07">
            <w:pPr>
              <w:widowControl w:val="0"/>
              <w:numPr>
                <w:ilvl w:val="0"/>
                <w:numId w:val="3"/>
              </w:numPr>
              <w:pBdr>
                <w:top w:val="nil"/>
                <w:left w:val="nil"/>
                <w:bottom w:val="nil"/>
                <w:right w:val="nil"/>
                <w:between w:val="nil"/>
              </w:pBdr>
              <w:spacing w:after="0" w:line="240" w:lineRule="auto"/>
              <w:jc w:val="right"/>
              <w:rPr>
                <w:rFonts w:ascii="Arial" w:eastAsia="Arial" w:hAnsi="Arial" w:cs="Arial"/>
                <w:b/>
                <w:color w:val="auto"/>
                <w:sz w:val="24"/>
                <w:szCs w:val="24"/>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rsidR="00670492" w:rsidRPr="00266915" w:rsidRDefault="001429DF" w:rsidP="00B75B07">
            <w:pPr>
              <w:pBdr>
                <w:top w:val="nil"/>
                <w:left w:val="nil"/>
                <w:bottom w:val="nil"/>
                <w:right w:val="nil"/>
                <w:between w:val="nil"/>
              </w:pBdr>
              <w:spacing w:line="240" w:lineRule="auto"/>
              <w:rPr>
                <w:rFonts w:ascii="Arial" w:eastAsia="Arial" w:hAnsi="Arial" w:cs="Arial"/>
                <w:color w:val="auto"/>
                <w:sz w:val="24"/>
                <w:szCs w:val="24"/>
              </w:rPr>
            </w:pPr>
            <w:r w:rsidRPr="00266915">
              <w:rPr>
                <w:rFonts w:ascii="Arial" w:eastAsia="Arial" w:hAnsi="Arial" w:cs="Arial"/>
                <w:color w:val="auto"/>
                <w:sz w:val="24"/>
                <w:szCs w:val="24"/>
              </w:rPr>
              <w:t>Provide a contextualized ESL/CTE offering to adults in the Lincoln (Western Placer Unified School District) by January 2020.</w:t>
            </w:r>
            <w:r w:rsidR="00B75B07" w:rsidRPr="00266915">
              <w:rPr>
                <w:rFonts w:ascii="Arial" w:eastAsia="Arial" w:hAnsi="Arial" w:cs="Arial"/>
                <w:color w:val="auto"/>
                <w:sz w:val="24"/>
                <w:szCs w:val="24"/>
              </w:rPr>
              <w:t xml:space="preserve"> </w:t>
            </w:r>
          </w:p>
        </w:tc>
      </w:tr>
      <w:tr w:rsidR="00B75B07" w:rsidRPr="00266915">
        <w:tc>
          <w:tcPr>
            <w:tcW w:w="945" w:type="dxa"/>
            <w:tcBorders>
              <w:top w:val="nil"/>
              <w:left w:val="nil"/>
              <w:bottom w:val="nil"/>
              <w:right w:val="nil"/>
            </w:tcBorders>
            <w:shd w:val="clear" w:color="auto" w:fill="auto"/>
            <w:tcMar>
              <w:top w:w="100" w:type="dxa"/>
              <w:left w:w="100" w:type="dxa"/>
              <w:bottom w:w="100" w:type="dxa"/>
              <w:right w:w="100" w:type="dxa"/>
            </w:tcMar>
          </w:tcPr>
          <w:p w:rsidR="00670492" w:rsidRPr="00266915" w:rsidRDefault="00670492" w:rsidP="00B75B07">
            <w:pPr>
              <w:widowControl w:val="0"/>
              <w:numPr>
                <w:ilvl w:val="0"/>
                <w:numId w:val="3"/>
              </w:numPr>
              <w:pBdr>
                <w:top w:val="nil"/>
                <w:left w:val="nil"/>
                <w:bottom w:val="nil"/>
                <w:right w:val="nil"/>
                <w:between w:val="nil"/>
              </w:pBdr>
              <w:spacing w:after="0" w:line="240" w:lineRule="auto"/>
              <w:jc w:val="right"/>
              <w:rPr>
                <w:rFonts w:ascii="Arial" w:eastAsia="Arial" w:hAnsi="Arial" w:cs="Arial"/>
                <w:b/>
                <w:color w:val="auto"/>
                <w:sz w:val="24"/>
                <w:szCs w:val="24"/>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rsidR="00670492" w:rsidRPr="00266915" w:rsidRDefault="001429DF" w:rsidP="00B75B07">
            <w:pPr>
              <w:spacing w:after="0" w:line="240" w:lineRule="auto"/>
              <w:rPr>
                <w:rFonts w:ascii="Arial" w:eastAsia="Arial" w:hAnsi="Arial" w:cs="Arial"/>
                <w:color w:val="auto"/>
                <w:sz w:val="24"/>
                <w:szCs w:val="24"/>
              </w:rPr>
            </w:pPr>
            <w:r w:rsidRPr="00266915">
              <w:rPr>
                <w:rFonts w:ascii="Arial" w:eastAsia="Arial" w:hAnsi="Arial" w:cs="Arial"/>
                <w:color w:val="auto"/>
                <w:sz w:val="24"/>
                <w:szCs w:val="24"/>
              </w:rPr>
              <w:t>Provide a minimum of 6 hours a week of streaming classes in NUAE by June, 2020.    </w:t>
            </w:r>
          </w:p>
        </w:tc>
      </w:tr>
      <w:tr w:rsidR="00B75B07" w:rsidRPr="00266915">
        <w:tc>
          <w:tcPr>
            <w:tcW w:w="945" w:type="dxa"/>
            <w:tcBorders>
              <w:top w:val="nil"/>
              <w:left w:val="nil"/>
              <w:bottom w:val="nil"/>
              <w:right w:val="nil"/>
            </w:tcBorders>
            <w:shd w:val="clear" w:color="auto" w:fill="auto"/>
            <w:tcMar>
              <w:top w:w="100" w:type="dxa"/>
              <w:left w:w="100" w:type="dxa"/>
              <w:bottom w:w="100" w:type="dxa"/>
              <w:right w:w="100" w:type="dxa"/>
            </w:tcMar>
          </w:tcPr>
          <w:p w:rsidR="00670492" w:rsidRPr="00266915" w:rsidRDefault="00670492" w:rsidP="00B75B07">
            <w:pPr>
              <w:widowControl w:val="0"/>
              <w:numPr>
                <w:ilvl w:val="0"/>
                <w:numId w:val="3"/>
              </w:numPr>
              <w:pBdr>
                <w:top w:val="nil"/>
                <w:left w:val="nil"/>
                <w:bottom w:val="nil"/>
                <w:right w:val="nil"/>
                <w:between w:val="nil"/>
              </w:pBdr>
              <w:spacing w:after="0" w:line="240" w:lineRule="auto"/>
              <w:jc w:val="right"/>
              <w:rPr>
                <w:rFonts w:ascii="Arial" w:eastAsia="Arial" w:hAnsi="Arial" w:cs="Arial"/>
                <w:b/>
                <w:color w:val="auto"/>
                <w:sz w:val="24"/>
                <w:szCs w:val="24"/>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rsidR="00670492" w:rsidRPr="00266915" w:rsidRDefault="001429DF" w:rsidP="00B75B07">
            <w:pPr>
              <w:spacing w:after="0" w:line="240" w:lineRule="auto"/>
              <w:rPr>
                <w:rFonts w:ascii="Arial" w:eastAsia="Arial" w:hAnsi="Arial" w:cs="Arial"/>
                <w:color w:val="auto"/>
                <w:sz w:val="24"/>
                <w:szCs w:val="24"/>
              </w:rPr>
            </w:pPr>
            <w:r w:rsidRPr="00266915">
              <w:rPr>
                <w:rFonts w:ascii="Arial" w:eastAsia="Arial" w:hAnsi="Arial" w:cs="Arial"/>
                <w:color w:val="auto"/>
                <w:sz w:val="24"/>
                <w:szCs w:val="24"/>
              </w:rPr>
              <w:t>By June 2020, we will offer professional development/training workshop on matriculation processes from jails to community college for AE counselors.</w:t>
            </w:r>
          </w:p>
        </w:tc>
      </w:tr>
      <w:tr w:rsidR="00B75B07" w:rsidRPr="00266915">
        <w:trPr>
          <w:trHeight w:val="700"/>
        </w:trPr>
        <w:tc>
          <w:tcPr>
            <w:tcW w:w="945" w:type="dxa"/>
            <w:tcBorders>
              <w:top w:val="nil"/>
              <w:left w:val="nil"/>
              <w:bottom w:val="nil"/>
              <w:right w:val="nil"/>
            </w:tcBorders>
            <w:shd w:val="clear" w:color="auto" w:fill="auto"/>
            <w:tcMar>
              <w:top w:w="100" w:type="dxa"/>
              <w:left w:w="100" w:type="dxa"/>
              <w:bottom w:w="100" w:type="dxa"/>
              <w:right w:w="100" w:type="dxa"/>
            </w:tcMar>
          </w:tcPr>
          <w:p w:rsidR="00670492" w:rsidRPr="00266915" w:rsidRDefault="00670492" w:rsidP="00B75B07">
            <w:pPr>
              <w:widowControl w:val="0"/>
              <w:numPr>
                <w:ilvl w:val="0"/>
                <w:numId w:val="3"/>
              </w:numPr>
              <w:pBdr>
                <w:top w:val="nil"/>
                <w:left w:val="nil"/>
                <w:bottom w:val="nil"/>
                <w:right w:val="nil"/>
                <w:between w:val="nil"/>
              </w:pBdr>
              <w:spacing w:after="0" w:line="240" w:lineRule="auto"/>
              <w:jc w:val="right"/>
              <w:rPr>
                <w:rFonts w:ascii="Arial" w:eastAsia="Arial" w:hAnsi="Arial" w:cs="Arial"/>
                <w:b/>
                <w:color w:val="auto"/>
                <w:sz w:val="24"/>
                <w:szCs w:val="24"/>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rsidR="00670492" w:rsidRPr="00266915" w:rsidRDefault="001429DF" w:rsidP="00B75B07">
            <w:pPr>
              <w:spacing w:after="0" w:line="240" w:lineRule="auto"/>
              <w:rPr>
                <w:rFonts w:ascii="Arial" w:eastAsia="Arial" w:hAnsi="Arial" w:cs="Arial"/>
                <w:color w:val="auto"/>
                <w:sz w:val="24"/>
                <w:szCs w:val="24"/>
              </w:rPr>
            </w:pPr>
            <w:r w:rsidRPr="00266915">
              <w:rPr>
                <w:rFonts w:ascii="Arial" w:eastAsia="Arial" w:hAnsi="Arial" w:cs="Arial"/>
                <w:color w:val="auto"/>
                <w:sz w:val="24"/>
                <w:szCs w:val="24"/>
              </w:rPr>
              <w:t>Develop and offer two new, or additional, courses that address identified barriers to student success by June 2021.</w:t>
            </w:r>
          </w:p>
        </w:tc>
      </w:tr>
      <w:tr w:rsidR="00B75B07" w:rsidRPr="00266915">
        <w:tc>
          <w:tcPr>
            <w:tcW w:w="945" w:type="dxa"/>
            <w:tcBorders>
              <w:top w:val="nil"/>
              <w:left w:val="nil"/>
              <w:bottom w:val="nil"/>
              <w:right w:val="nil"/>
            </w:tcBorders>
            <w:shd w:val="clear" w:color="auto" w:fill="auto"/>
            <w:tcMar>
              <w:top w:w="100" w:type="dxa"/>
              <w:left w:w="100" w:type="dxa"/>
              <w:bottom w:w="100" w:type="dxa"/>
              <w:right w:w="100" w:type="dxa"/>
            </w:tcMar>
          </w:tcPr>
          <w:p w:rsidR="00670492" w:rsidRPr="00266915" w:rsidRDefault="00670492" w:rsidP="00B75B07">
            <w:pPr>
              <w:widowControl w:val="0"/>
              <w:numPr>
                <w:ilvl w:val="0"/>
                <w:numId w:val="3"/>
              </w:numPr>
              <w:pBdr>
                <w:top w:val="nil"/>
                <w:left w:val="nil"/>
                <w:bottom w:val="nil"/>
                <w:right w:val="nil"/>
                <w:between w:val="nil"/>
              </w:pBdr>
              <w:spacing w:after="0" w:line="240" w:lineRule="auto"/>
              <w:jc w:val="right"/>
              <w:rPr>
                <w:rFonts w:ascii="Arial" w:eastAsia="Arial" w:hAnsi="Arial" w:cs="Arial"/>
                <w:b/>
                <w:color w:val="auto"/>
                <w:sz w:val="24"/>
                <w:szCs w:val="24"/>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rsidR="00670492" w:rsidRPr="00266915" w:rsidRDefault="001429DF" w:rsidP="00B75B07">
            <w:pPr>
              <w:spacing w:after="0" w:line="240" w:lineRule="auto"/>
              <w:rPr>
                <w:rFonts w:ascii="Arial" w:eastAsia="Arial" w:hAnsi="Arial" w:cs="Arial"/>
                <w:color w:val="auto"/>
                <w:sz w:val="24"/>
                <w:szCs w:val="24"/>
              </w:rPr>
            </w:pPr>
            <w:r w:rsidRPr="00266915">
              <w:rPr>
                <w:rFonts w:ascii="Arial" w:eastAsia="Arial" w:hAnsi="Arial" w:cs="Arial"/>
                <w:color w:val="auto"/>
                <w:sz w:val="24"/>
                <w:szCs w:val="24"/>
              </w:rPr>
              <w:t>Increase student transitions to aligned degree/ certification/ certificate programs by 10% by June of 2022.</w:t>
            </w:r>
          </w:p>
          <w:p w:rsidR="00670492" w:rsidRPr="00266915" w:rsidRDefault="00670492" w:rsidP="00B75B07">
            <w:pPr>
              <w:spacing w:after="0" w:line="240" w:lineRule="auto"/>
              <w:rPr>
                <w:rFonts w:ascii="Arial" w:eastAsia="Arial" w:hAnsi="Arial" w:cs="Arial"/>
                <w:color w:val="auto"/>
                <w:sz w:val="24"/>
                <w:szCs w:val="24"/>
              </w:rPr>
            </w:pPr>
          </w:p>
        </w:tc>
      </w:tr>
    </w:tbl>
    <w:p w:rsidR="00670492" w:rsidRDefault="00670492">
      <w:pPr>
        <w:pStyle w:val="Heading2"/>
        <w:pBdr>
          <w:bottom w:val="none" w:sz="0" w:space="0" w:color="000000"/>
        </w:pBdr>
        <w:rPr>
          <w:rFonts w:ascii="Arial" w:eastAsia="Arial" w:hAnsi="Arial" w:cs="Arial"/>
          <w:sz w:val="22"/>
          <w:szCs w:val="22"/>
        </w:rPr>
      </w:pPr>
      <w:bookmarkStart w:id="81" w:name="_2xcytpi" w:colFirst="0" w:colLast="0"/>
      <w:bookmarkEnd w:id="81"/>
    </w:p>
    <w:p w:rsidR="00670492" w:rsidRDefault="001429DF">
      <w:pPr>
        <w:spacing w:after="0" w:line="240" w:lineRule="auto"/>
        <w:rPr>
          <w:rFonts w:ascii="Arial" w:eastAsia="Arial" w:hAnsi="Arial" w:cs="Arial"/>
        </w:rPr>
      </w:pPr>
      <w:r>
        <w:br w:type="page"/>
      </w:r>
    </w:p>
    <w:p w:rsidR="00670492" w:rsidRDefault="001429DF">
      <w:pPr>
        <w:pStyle w:val="Heading2"/>
      </w:pPr>
      <w:bookmarkStart w:id="82" w:name="_Toc10017496"/>
      <w:r>
        <w:lastRenderedPageBreak/>
        <w:t>2.5 Piloting and Implementation</w:t>
      </w:r>
      <w:bookmarkEnd w:id="82"/>
    </w:p>
    <w:p w:rsidR="00670492" w:rsidRDefault="001429DF">
      <w:pPr>
        <w:widowControl w:val="0"/>
        <w:spacing w:before="278" w:after="0"/>
        <w:ind w:right="3225"/>
        <w:rPr>
          <w:rFonts w:ascii="Arial" w:eastAsia="Arial" w:hAnsi="Arial" w:cs="Arial"/>
          <w:b/>
          <w:color w:val="383F51"/>
        </w:rPr>
      </w:pPr>
      <w:r>
        <w:rPr>
          <w:rFonts w:ascii="Arial" w:eastAsia="Arial" w:hAnsi="Arial" w:cs="Arial"/>
          <w:b/>
          <w:color w:val="383F51"/>
        </w:rPr>
        <w:t>Explain how you will prototype new strategies and describe measures of effectiveness.</w:t>
      </w:r>
    </w:p>
    <w:p w:rsidR="00670492" w:rsidRPr="00B75B07" w:rsidRDefault="001429DF">
      <w:pPr>
        <w:widowControl w:val="0"/>
        <w:numPr>
          <w:ilvl w:val="0"/>
          <w:numId w:val="1"/>
        </w:numPr>
        <w:spacing w:before="278" w:after="0"/>
        <w:ind w:right="3225"/>
        <w:rPr>
          <w:rFonts w:ascii="Arial" w:eastAsia="Arial" w:hAnsi="Arial" w:cs="Arial"/>
          <w:color w:val="auto"/>
          <w:sz w:val="24"/>
          <w:szCs w:val="24"/>
        </w:rPr>
      </w:pPr>
      <w:r w:rsidRPr="00B75B07">
        <w:rPr>
          <w:rFonts w:ascii="Arial" w:eastAsia="Arial" w:hAnsi="Arial" w:cs="Arial"/>
          <w:color w:val="auto"/>
          <w:sz w:val="24"/>
          <w:szCs w:val="24"/>
        </w:rPr>
        <w:t>Distance learning to increase reach and efficiency.</w:t>
      </w:r>
    </w:p>
    <w:p w:rsidR="00670492" w:rsidRDefault="001429DF" w:rsidP="00B75B07">
      <w:pPr>
        <w:widowControl w:val="0"/>
        <w:spacing w:before="81" w:after="0"/>
        <w:ind w:left="720" w:right="52"/>
        <w:rPr>
          <w:rFonts w:ascii="Arial" w:eastAsia="Arial" w:hAnsi="Arial" w:cs="Arial"/>
          <w:color w:val="auto"/>
          <w:sz w:val="24"/>
          <w:szCs w:val="24"/>
        </w:rPr>
      </w:pPr>
      <w:r w:rsidRPr="00B75B07">
        <w:rPr>
          <w:rFonts w:ascii="Arial" w:eastAsia="Arial" w:hAnsi="Arial" w:cs="Arial"/>
          <w:color w:val="auto"/>
          <w:sz w:val="24"/>
          <w:szCs w:val="24"/>
        </w:rPr>
        <w:t>a. Pilot:  We will pilot distance learning computer</w:t>
      </w:r>
      <w:r w:rsidR="00B75B07">
        <w:rPr>
          <w:rFonts w:ascii="Arial" w:eastAsia="Arial" w:hAnsi="Arial" w:cs="Arial"/>
          <w:color w:val="auto"/>
          <w:sz w:val="24"/>
          <w:szCs w:val="24"/>
        </w:rPr>
        <w:t xml:space="preserve"> </w:t>
      </w:r>
      <w:r w:rsidRPr="00B75B07">
        <w:rPr>
          <w:rFonts w:ascii="Arial" w:eastAsia="Arial" w:hAnsi="Arial" w:cs="Arial"/>
          <w:color w:val="auto"/>
          <w:sz w:val="24"/>
          <w:szCs w:val="24"/>
        </w:rPr>
        <w:t xml:space="preserve">courses between PSA and NUAE. </w:t>
      </w:r>
      <w:r w:rsidR="00B75B07">
        <w:rPr>
          <w:rFonts w:ascii="Arial" w:eastAsia="Arial" w:hAnsi="Arial" w:cs="Arial"/>
          <w:color w:val="auto"/>
          <w:sz w:val="24"/>
          <w:szCs w:val="24"/>
        </w:rPr>
        <w:br/>
      </w:r>
      <w:r w:rsidRPr="00B75B07">
        <w:rPr>
          <w:rFonts w:ascii="Arial" w:eastAsia="Arial" w:hAnsi="Arial" w:cs="Arial"/>
          <w:color w:val="auto"/>
          <w:sz w:val="24"/>
          <w:szCs w:val="24"/>
        </w:rPr>
        <w:t>b. Effectiveness:  Increased numbers of participants attending courses from Nevada County by 10%.  Students are able to pass exam/exercises at end of class to demonstrate competency/skills acquired.</w:t>
      </w:r>
    </w:p>
    <w:p w:rsidR="00B75B07" w:rsidRPr="00B75B07" w:rsidRDefault="00B75B07">
      <w:pPr>
        <w:widowControl w:val="0"/>
        <w:spacing w:before="278" w:after="0"/>
        <w:ind w:left="720" w:right="3225"/>
        <w:rPr>
          <w:rFonts w:ascii="Arial" w:eastAsia="Arial" w:hAnsi="Arial" w:cs="Arial"/>
          <w:color w:val="auto"/>
          <w:sz w:val="24"/>
          <w:szCs w:val="24"/>
        </w:rPr>
      </w:pPr>
    </w:p>
    <w:p w:rsidR="00670492" w:rsidRPr="00B75B07" w:rsidRDefault="001429DF">
      <w:pPr>
        <w:widowControl w:val="0"/>
        <w:numPr>
          <w:ilvl w:val="0"/>
          <w:numId w:val="1"/>
        </w:numPr>
        <w:spacing w:before="81" w:after="0"/>
        <w:ind w:right="52"/>
        <w:rPr>
          <w:rFonts w:ascii="Arial" w:eastAsia="Arial" w:hAnsi="Arial" w:cs="Arial"/>
          <w:color w:val="auto"/>
          <w:sz w:val="24"/>
          <w:szCs w:val="24"/>
        </w:rPr>
      </w:pPr>
      <w:r w:rsidRPr="00B75B07">
        <w:rPr>
          <w:rFonts w:ascii="Arial" w:eastAsia="Arial" w:hAnsi="Arial" w:cs="Arial"/>
          <w:color w:val="auto"/>
          <w:sz w:val="24"/>
          <w:szCs w:val="24"/>
        </w:rPr>
        <w:t>Partnerships to fill gaps in services.</w:t>
      </w:r>
    </w:p>
    <w:p w:rsidR="00670492" w:rsidRPr="00B75B07" w:rsidRDefault="001429DF">
      <w:pPr>
        <w:widowControl w:val="0"/>
        <w:spacing w:before="81" w:after="0"/>
        <w:ind w:right="52" w:firstLine="720"/>
        <w:rPr>
          <w:rFonts w:ascii="Arial" w:eastAsia="Arial" w:hAnsi="Arial" w:cs="Arial"/>
          <w:color w:val="auto"/>
          <w:sz w:val="24"/>
          <w:szCs w:val="24"/>
        </w:rPr>
      </w:pPr>
      <w:r w:rsidRPr="00B75B07">
        <w:rPr>
          <w:rFonts w:ascii="Arial" w:eastAsia="Arial" w:hAnsi="Arial" w:cs="Arial"/>
          <w:color w:val="auto"/>
          <w:sz w:val="24"/>
          <w:szCs w:val="24"/>
        </w:rPr>
        <w:t xml:space="preserve">a. Pilot: Partnering to offer 243 IELCE programs in Lincoln, CA </w:t>
      </w:r>
    </w:p>
    <w:p w:rsidR="00670492" w:rsidRPr="00B75B07" w:rsidRDefault="001429DF">
      <w:pPr>
        <w:widowControl w:val="0"/>
        <w:spacing w:before="81" w:after="0"/>
        <w:ind w:left="720" w:right="52"/>
        <w:rPr>
          <w:rFonts w:ascii="Arial" w:eastAsia="Arial" w:hAnsi="Arial" w:cs="Arial"/>
          <w:color w:val="auto"/>
          <w:sz w:val="24"/>
          <w:szCs w:val="24"/>
        </w:rPr>
      </w:pPr>
      <w:r w:rsidRPr="00B75B07">
        <w:rPr>
          <w:rFonts w:ascii="Arial" w:eastAsia="Arial" w:hAnsi="Arial" w:cs="Arial"/>
          <w:color w:val="auto"/>
          <w:sz w:val="24"/>
          <w:szCs w:val="24"/>
        </w:rPr>
        <w:t>b. Effectiveness: Students attend jointly offered 243 IELCE programs</w:t>
      </w:r>
    </w:p>
    <w:p w:rsidR="00670492" w:rsidRPr="00B75B07" w:rsidRDefault="00670492">
      <w:pPr>
        <w:widowControl w:val="0"/>
        <w:spacing w:before="81" w:after="0"/>
        <w:ind w:right="52"/>
        <w:rPr>
          <w:rFonts w:ascii="Arial" w:eastAsia="Arial" w:hAnsi="Arial" w:cs="Arial"/>
          <w:color w:val="auto"/>
          <w:sz w:val="24"/>
          <w:szCs w:val="24"/>
        </w:rPr>
      </w:pPr>
    </w:p>
    <w:p w:rsidR="00670492" w:rsidRPr="00B75B07" w:rsidRDefault="001429DF">
      <w:pPr>
        <w:widowControl w:val="0"/>
        <w:spacing w:before="81" w:after="0"/>
        <w:ind w:left="720" w:right="52"/>
        <w:rPr>
          <w:rFonts w:ascii="Arial" w:eastAsia="Arial" w:hAnsi="Arial" w:cs="Arial"/>
          <w:color w:val="auto"/>
          <w:sz w:val="24"/>
          <w:szCs w:val="24"/>
        </w:rPr>
      </w:pPr>
      <w:r w:rsidRPr="00B75B07">
        <w:rPr>
          <w:rFonts w:ascii="Arial" w:eastAsia="Arial" w:hAnsi="Arial" w:cs="Arial"/>
          <w:color w:val="auto"/>
          <w:sz w:val="24"/>
          <w:szCs w:val="24"/>
        </w:rPr>
        <w:t>a. Pilot: NUAE and Sierra College Nevada County Campus collaboration project to align math curriculum to support adult education students move successfully into college/transfer level math (or Sierra students who may be referred to adult school for additional support).</w:t>
      </w:r>
    </w:p>
    <w:p w:rsidR="00670492" w:rsidRPr="00B75B07" w:rsidRDefault="001429DF">
      <w:pPr>
        <w:widowControl w:val="0"/>
        <w:spacing w:before="81" w:after="0"/>
        <w:ind w:left="720" w:right="52"/>
        <w:rPr>
          <w:rFonts w:ascii="Arial" w:eastAsia="Arial" w:hAnsi="Arial" w:cs="Arial"/>
          <w:color w:val="auto"/>
          <w:sz w:val="24"/>
          <w:szCs w:val="24"/>
        </w:rPr>
      </w:pPr>
      <w:r w:rsidRPr="00B75B07">
        <w:rPr>
          <w:rFonts w:ascii="Arial" w:eastAsia="Arial" w:hAnsi="Arial" w:cs="Arial"/>
          <w:color w:val="auto"/>
          <w:sz w:val="24"/>
          <w:szCs w:val="24"/>
        </w:rPr>
        <w:t xml:space="preserve">b. Effectiveness: </w:t>
      </w:r>
    </w:p>
    <w:p w:rsidR="00670492" w:rsidRPr="00B75B07" w:rsidRDefault="001429DF">
      <w:pPr>
        <w:widowControl w:val="0"/>
        <w:spacing w:before="81" w:after="0"/>
        <w:ind w:left="1440" w:right="52"/>
        <w:rPr>
          <w:rFonts w:ascii="Arial" w:eastAsia="Arial" w:hAnsi="Arial" w:cs="Arial"/>
          <w:color w:val="auto"/>
          <w:sz w:val="24"/>
          <w:szCs w:val="24"/>
        </w:rPr>
      </w:pPr>
      <w:proofErr w:type="spellStart"/>
      <w:r w:rsidRPr="00B75B07">
        <w:rPr>
          <w:rFonts w:ascii="Arial" w:eastAsia="Arial" w:hAnsi="Arial" w:cs="Arial"/>
          <w:color w:val="auto"/>
          <w:sz w:val="24"/>
          <w:szCs w:val="24"/>
        </w:rPr>
        <w:t>i</w:t>
      </w:r>
      <w:proofErr w:type="spellEnd"/>
      <w:r w:rsidRPr="00B75B07">
        <w:rPr>
          <w:rFonts w:ascii="Arial" w:eastAsia="Arial" w:hAnsi="Arial" w:cs="Arial"/>
          <w:color w:val="auto"/>
          <w:sz w:val="24"/>
          <w:szCs w:val="24"/>
        </w:rPr>
        <w:t>) Students successfully demonstrate competency in the defined math skills needed for transfer level math.</w:t>
      </w:r>
    </w:p>
    <w:p w:rsidR="00670492" w:rsidRPr="00B75B07" w:rsidRDefault="001429DF">
      <w:pPr>
        <w:widowControl w:val="0"/>
        <w:spacing w:before="81" w:after="0"/>
        <w:ind w:left="1440" w:right="52"/>
        <w:rPr>
          <w:rFonts w:ascii="Arial" w:eastAsia="Arial" w:hAnsi="Arial" w:cs="Arial"/>
          <w:color w:val="auto"/>
          <w:sz w:val="24"/>
          <w:szCs w:val="24"/>
        </w:rPr>
      </w:pPr>
      <w:r w:rsidRPr="00B75B07">
        <w:rPr>
          <w:rFonts w:ascii="Arial" w:eastAsia="Arial" w:hAnsi="Arial" w:cs="Arial"/>
          <w:color w:val="auto"/>
          <w:sz w:val="24"/>
          <w:szCs w:val="24"/>
        </w:rPr>
        <w:t>ii) Student enrollment and transition to postsecondary programs.</w:t>
      </w:r>
    </w:p>
    <w:p w:rsidR="00670492" w:rsidRPr="00B75B07" w:rsidRDefault="00670492">
      <w:pPr>
        <w:widowControl w:val="0"/>
        <w:spacing w:before="81" w:after="0"/>
        <w:ind w:left="1440" w:right="52"/>
        <w:rPr>
          <w:rFonts w:ascii="Arial" w:eastAsia="Arial" w:hAnsi="Arial" w:cs="Arial"/>
          <w:color w:val="auto"/>
          <w:sz w:val="24"/>
          <w:szCs w:val="24"/>
        </w:rPr>
      </w:pPr>
    </w:p>
    <w:p w:rsidR="00670492" w:rsidRPr="00B75B07" w:rsidRDefault="001429DF">
      <w:pPr>
        <w:widowControl w:val="0"/>
        <w:spacing w:before="81" w:after="0"/>
        <w:ind w:left="720" w:right="52"/>
        <w:rPr>
          <w:rFonts w:ascii="Arial" w:eastAsia="Arial" w:hAnsi="Arial" w:cs="Arial"/>
          <w:color w:val="auto"/>
          <w:sz w:val="24"/>
          <w:szCs w:val="24"/>
        </w:rPr>
      </w:pPr>
      <w:r w:rsidRPr="00B75B07">
        <w:rPr>
          <w:rFonts w:ascii="Arial" w:eastAsia="Arial" w:hAnsi="Arial" w:cs="Arial"/>
          <w:color w:val="auto"/>
          <w:sz w:val="24"/>
          <w:szCs w:val="24"/>
        </w:rPr>
        <w:t xml:space="preserve">a. Pilot: Auto technician certification - partnership with BMR Automotive Roseville and Roseville Adult School. </w:t>
      </w:r>
    </w:p>
    <w:p w:rsidR="00670492" w:rsidRPr="00B75B07" w:rsidRDefault="001429DF">
      <w:pPr>
        <w:widowControl w:val="0"/>
        <w:spacing w:before="81" w:after="0"/>
        <w:ind w:left="720" w:right="52"/>
        <w:rPr>
          <w:rFonts w:ascii="Arial" w:eastAsia="Arial" w:hAnsi="Arial" w:cs="Arial"/>
          <w:color w:val="auto"/>
          <w:sz w:val="24"/>
          <w:szCs w:val="24"/>
        </w:rPr>
      </w:pPr>
      <w:r w:rsidRPr="00B75B07">
        <w:rPr>
          <w:rFonts w:ascii="Arial" w:eastAsia="Arial" w:hAnsi="Arial" w:cs="Arial"/>
          <w:color w:val="auto"/>
          <w:sz w:val="24"/>
          <w:szCs w:val="24"/>
        </w:rPr>
        <w:t xml:space="preserve">b. Effectiveness: </w:t>
      </w:r>
    </w:p>
    <w:p w:rsidR="00670492" w:rsidRPr="00B75B07" w:rsidRDefault="001429DF" w:rsidP="00B75B07">
      <w:pPr>
        <w:widowControl w:val="0"/>
        <w:spacing w:before="81" w:after="0"/>
        <w:ind w:left="720" w:right="52"/>
        <w:rPr>
          <w:rFonts w:ascii="Arial" w:eastAsia="Arial" w:hAnsi="Arial" w:cs="Arial"/>
          <w:color w:val="auto"/>
          <w:sz w:val="24"/>
          <w:szCs w:val="24"/>
        </w:rPr>
      </w:pPr>
      <w:proofErr w:type="spellStart"/>
      <w:r w:rsidRPr="00B75B07">
        <w:rPr>
          <w:rFonts w:ascii="Arial" w:eastAsia="Arial" w:hAnsi="Arial" w:cs="Arial"/>
          <w:color w:val="auto"/>
          <w:sz w:val="24"/>
          <w:szCs w:val="24"/>
        </w:rPr>
        <w:t>i</w:t>
      </w:r>
      <w:proofErr w:type="spellEnd"/>
      <w:r w:rsidRPr="00B75B07">
        <w:rPr>
          <w:rFonts w:ascii="Arial" w:eastAsia="Arial" w:hAnsi="Arial" w:cs="Arial"/>
          <w:color w:val="auto"/>
          <w:sz w:val="24"/>
          <w:szCs w:val="24"/>
        </w:rPr>
        <w:t>) Minimum enrollment attained to run pilot course.</w:t>
      </w:r>
    </w:p>
    <w:p w:rsidR="00670492" w:rsidRPr="00B75B07" w:rsidRDefault="001429DF" w:rsidP="00B75B07">
      <w:pPr>
        <w:widowControl w:val="0"/>
        <w:spacing w:before="81" w:after="0"/>
        <w:ind w:left="720" w:right="52"/>
        <w:rPr>
          <w:rFonts w:ascii="Arial" w:eastAsia="Arial" w:hAnsi="Arial" w:cs="Arial"/>
          <w:color w:val="auto"/>
          <w:sz w:val="24"/>
          <w:szCs w:val="24"/>
        </w:rPr>
      </w:pPr>
      <w:r w:rsidRPr="00B75B07">
        <w:rPr>
          <w:rFonts w:ascii="Arial" w:eastAsia="Arial" w:hAnsi="Arial" w:cs="Arial"/>
          <w:color w:val="auto"/>
          <w:sz w:val="24"/>
          <w:szCs w:val="24"/>
        </w:rPr>
        <w:t>ii) Students successfully complete the course, earn industry certificate and attain entry-level automotive technician employment.</w:t>
      </w:r>
    </w:p>
    <w:p w:rsidR="00670492" w:rsidRPr="00B75B07" w:rsidRDefault="00670492" w:rsidP="00B75B07">
      <w:pPr>
        <w:widowControl w:val="0"/>
        <w:spacing w:before="81" w:after="0"/>
        <w:ind w:left="720" w:right="52"/>
        <w:rPr>
          <w:rFonts w:ascii="Arial" w:eastAsia="Arial" w:hAnsi="Arial" w:cs="Arial"/>
          <w:color w:val="auto"/>
          <w:sz w:val="24"/>
          <w:szCs w:val="24"/>
        </w:rPr>
      </w:pPr>
    </w:p>
    <w:p w:rsidR="00670492" w:rsidRPr="00B75B07" w:rsidRDefault="001429DF">
      <w:pPr>
        <w:widowControl w:val="0"/>
        <w:spacing w:before="81" w:after="0"/>
        <w:ind w:left="720" w:right="52"/>
        <w:rPr>
          <w:rFonts w:ascii="Arial" w:eastAsia="Arial" w:hAnsi="Arial" w:cs="Arial"/>
          <w:color w:val="auto"/>
          <w:sz w:val="24"/>
          <w:szCs w:val="24"/>
        </w:rPr>
      </w:pPr>
      <w:r w:rsidRPr="00B75B07">
        <w:rPr>
          <w:rFonts w:ascii="Arial" w:eastAsia="Arial" w:hAnsi="Arial" w:cs="Arial"/>
          <w:color w:val="auto"/>
          <w:sz w:val="24"/>
          <w:szCs w:val="24"/>
        </w:rPr>
        <w:t xml:space="preserve">3. Pilot: Contextualized math courses at the adult schools </w:t>
      </w:r>
    </w:p>
    <w:p w:rsidR="00670492" w:rsidRPr="00266915" w:rsidRDefault="001429DF" w:rsidP="00266915">
      <w:pPr>
        <w:widowControl w:val="0"/>
        <w:numPr>
          <w:ilvl w:val="0"/>
          <w:numId w:val="2"/>
        </w:numPr>
        <w:pBdr>
          <w:top w:val="nil"/>
          <w:left w:val="nil"/>
          <w:bottom w:val="nil"/>
          <w:right w:val="nil"/>
          <w:between w:val="nil"/>
        </w:pBdr>
        <w:spacing w:before="81" w:after="0"/>
        <w:ind w:left="720" w:right="873"/>
        <w:rPr>
          <w:rFonts w:ascii="Arial" w:eastAsia="Arial" w:hAnsi="Arial" w:cs="Arial"/>
          <w:color w:val="000000"/>
        </w:rPr>
      </w:pPr>
      <w:r w:rsidRPr="00266915">
        <w:rPr>
          <w:rFonts w:ascii="Arial" w:eastAsia="Arial" w:hAnsi="Arial" w:cs="Arial"/>
          <w:color w:val="auto"/>
          <w:sz w:val="24"/>
          <w:szCs w:val="24"/>
        </w:rPr>
        <w:t>Examples: Medical Math to support Healthcare courses), Construction math, etc.</w:t>
      </w:r>
      <w:bookmarkEnd w:id="1"/>
    </w:p>
    <w:sectPr w:rsidR="00670492" w:rsidRPr="00266915" w:rsidSect="001429DF">
      <w:pgSz w:w="12240" w:h="15840"/>
      <w:pgMar w:top="1739"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E36" w:rsidRDefault="00005E36">
      <w:pPr>
        <w:spacing w:after="0" w:line="240" w:lineRule="auto"/>
      </w:pPr>
      <w:r>
        <w:separator/>
      </w:r>
    </w:p>
  </w:endnote>
  <w:endnote w:type="continuationSeparator" w:id="0">
    <w:p w:rsidR="00005E36" w:rsidRDefault="0000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Roboto">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9DF" w:rsidRDefault="001429DF">
    <w:pPr>
      <w:spacing w:after="0"/>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9DF" w:rsidRDefault="001429DF">
    <w:pPr>
      <w:pBdr>
        <w:top w:val="nil"/>
        <w:left w:val="nil"/>
        <w:bottom w:val="nil"/>
        <w:right w:val="nil"/>
        <w:between w:val="nil"/>
      </w:pBdr>
      <w:tabs>
        <w:tab w:val="center" w:pos="4680"/>
        <w:tab w:val="right" w:pos="9360"/>
      </w:tabs>
      <w:spacing w:after="0" w:line="240" w:lineRule="auto"/>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E36" w:rsidRDefault="00005E36">
      <w:pPr>
        <w:spacing w:after="0" w:line="240" w:lineRule="auto"/>
      </w:pPr>
      <w:r>
        <w:separator/>
      </w:r>
    </w:p>
  </w:footnote>
  <w:footnote w:type="continuationSeparator" w:id="0">
    <w:p w:rsidR="00005E36" w:rsidRDefault="00005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9DF" w:rsidRDefault="001429DF">
    <w:pPr>
      <w:jc w:val="right"/>
      <w:rPr>
        <w:color w:val="FF0000"/>
      </w:rPr>
    </w:pPr>
    <w:r>
      <w:t xml:space="preserve"> Sierra Joint Consortia</w:t>
    </w:r>
    <w:r>
      <w:rPr>
        <w:noProof/>
      </w:rPr>
      <w:drawing>
        <wp:anchor distT="0" distB="0" distL="114300" distR="114300" simplePos="0" relativeHeight="251658240" behindDoc="0" locked="0" layoutInCell="1" hidden="0" allowOverlap="1" wp14:anchorId="68E39878" wp14:editId="7E5D22C9">
          <wp:simplePos x="0" y="0"/>
          <wp:positionH relativeFrom="column">
            <wp:posOffset>1</wp:posOffset>
          </wp:positionH>
          <wp:positionV relativeFrom="paragraph">
            <wp:posOffset>0</wp:posOffset>
          </wp:positionV>
          <wp:extent cx="1856232" cy="484632"/>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6232" cy="484632"/>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9DF" w:rsidRDefault="001429DF">
    <w:pPr>
      <w:spacing w:after="0" w:line="240" w:lineRule="auto"/>
      <w:ind w:right="-450"/>
      <w:jc w:val="right"/>
      <w:rPr>
        <w:color w:val="666666"/>
        <w:sz w:val="32"/>
        <w:szCs w:val="32"/>
      </w:rPr>
    </w:pPr>
    <w:r>
      <w:rPr>
        <w:color w:val="666666"/>
        <w:sz w:val="32"/>
        <w:szCs w:val="32"/>
      </w:rPr>
      <w:t>CONSORTIUM THREE-YEAR PLAN</w:t>
    </w:r>
  </w:p>
  <w:p w:rsidR="001429DF" w:rsidRDefault="001429DF">
    <w:pPr>
      <w:spacing w:after="0" w:line="240" w:lineRule="auto"/>
      <w:ind w:right="-450"/>
      <w:jc w:val="right"/>
      <w:rPr>
        <w:color w:val="666666"/>
        <w:sz w:val="32"/>
        <w:szCs w:val="32"/>
      </w:rPr>
    </w:pPr>
    <w:r>
      <w:rPr>
        <w:color w:val="666666"/>
        <w:sz w:val="32"/>
        <w:szCs w:val="32"/>
      </w:rPr>
      <w:t>2019-2022</w:t>
    </w:r>
  </w:p>
  <w:p w:rsidR="001429DF" w:rsidRDefault="001429DF">
    <w:pPr>
      <w:pBdr>
        <w:top w:val="nil"/>
        <w:left w:val="nil"/>
        <w:bottom w:val="nil"/>
        <w:right w:val="nil"/>
        <w:between w:val="nil"/>
      </w:pBdr>
      <w:tabs>
        <w:tab w:val="center" w:pos="4680"/>
        <w:tab w:val="right" w:pos="9360"/>
      </w:tabs>
      <w:spacing w:after="0" w:line="240" w:lineRule="auto"/>
    </w:pPr>
    <w:r>
      <w:rPr>
        <w:noProof/>
      </w:rPr>
      <w:drawing>
        <wp:anchor distT="0" distB="0" distL="114300" distR="114300" simplePos="0" relativeHeight="251659264" behindDoc="0" locked="0" layoutInCell="1" hidden="0" allowOverlap="1" wp14:anchorId="560C6823" wp14:editId="3503EEF1">
          <wp:simplePos x="0" y="0"/>
          <wp:positionH relativeFrom="column">
            <wp:posOffset>-418010</wp:posOffset>
          </wp:positionH>
          <wp:positionV relativeFrom="paragraph">
            <wp:posOffset>0</wp:posOffset>
          </wp:positionV>
          <wp:extent cx="1856105" cy="48450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6105" cy="4845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14A58"/>
    <w:multiLevelType w:val="multilevel"/>
    <w:tmpl w:val="C8E0D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BC6070"/>
    <w:multiLevelType w:val="multilevel"/>
    <w:tmpl w:val="EF0C4F2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4DF02DAC"/>
    <w:multiLevelType w:val="multilevel"/>
    <w:tmpl w:val="A636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E1A96"/>
    <w:multiLevelType w:val="multilevel"/>
    <w:tmpl w:val="2B52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E21FDC"/>
    <w:multiLevelType w:val="multilevel"/>
    <w:tmpl w:val="D318FE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51F1CFF"/>
    <w:multiLevelType w:val="multilevel"/>
    <w:tmpl w:val="3856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92"/>
    <w:rsid w:val="00005E36"/>
    <w:rsid w:val="001429DF"/>
    <w:rsid w:val="0023607D"/>
    <w:rsid w:val="00266915"/>
    <w:rsid w:val="00521425"/>
    <w:rsid w:val="00670492"/>
    <w:rsid w:val="006F5BAC"/>
    <w:rsid w:val="009B0913"/>
    <w:rsid w:val="00B71DD1"/>
    <w:rsid w:val="00B75B07"/>
    <w:rsid w:val="00F2297A"/>
    <w:rsid w:val="00FF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D83E"/>
  <w15:docId w15:val="{AFF261EB-E20F-4BAE-AC86-6F45BA77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w:eastAsia="Avenir" w:hAnsi="Avenir" w:cs="Avenir"/>
        <w:color w:val="40404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color w:val="187196"/>
      <w:sz w:val="36"/>
      <w:szCs w:val="36"/>
    </w:rPr>
  </w:style>
  <w:style w:type="paragraph" w:styleId="Heading2">
    <w:name w:val="heading 2"/>
    <w:basedOn w:val="Normal"/>
    <w:next w:val="Normal"/>
    <w:pPr>
      <w:keepNext/>
      <w:keepLines/>
      <w:pBdr>
        <w:bottom w:val="single" w:sz="6" w:space="1" w:color="000000"/>
      </w:pBdr>
      <w:spacing w:before="240" w:after="120" w:line="240" w:lineRule="auto"/>
      <w:outlineLvl w:val="1"/>
    </w:pPr>
    <w:rPr>
      <w:sz w:val="32"/>
      <w:szCs w:val="32"/>
    </w:rPr>
  </w:style>
  <w:style w:type="paragraph" w:styleId="Heading3">
    <w:name w:val="heading 3"/>
    <w:basedOn w:val="Normal"/>
    <w:next w:val="Normal"/>
    <w:pPr>
      <w:spacing w:before="240" w:after="120" w:line="240" w:lineRule="auto"/>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libri" w:eastAsia="Calibri" w:hAnsi="Calibri" w:cs="Calibri"/>
      <w:color w:val="000000"/>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58" w:type="dxa"/>
        <w:left w:w="58" w:type="dxa"/>
        <w:bottom w:w="58" w:type="dxa"/>
        <w:right w:w="58" w:type="dxa"/>
      </w:tblCellMar>
    </w:tblPr>
  </w:style>
  <w:style w:type="table" w:customStyle="1" w:styleId="a5">
    <w:basedOn w:val="TableNormal"/>
    <w:tblPr>
      <w:tblStyleRowBandSize w:val="1"/>
      <w:tblStyleColBandSize w:val="1"/>
      <w:tblCellMar>
        <w:top w:w="58" w:type="dxa"/>
        <w:left w:w="58" w:type="dxa"/>
        <w:bottom w:w="58" w:type="dxa"/>
        <w:right w:w="58" w:type="dxa"/>
      </w:tblCellMar>
    </w:tblPr>
  </w:style>
  <w:style w:type="table" w:customStyle="1" w:styleId="a6">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1429D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OC1">
    <w:name w:val="toc 1"/>
    <w:basedOn w:val="Normal"/>
    <w:next w:val="Normal"/>
    <w:autoRedefine/>
    <w:uiPriority w:val="39"/>
    <w:unhideWhenUsed/>
    <w:rsid w:val="0023607D"/>
    <w:pPr>
      <w:spacing w:after="100"/>
    </w:pPr>
  </w:style>
  <w:style w:type="paragraph" w:styleId="TOC2">
    <w:name w:val="toc 2"/>
    <w:basedOn w:val="Normal"/>
    <w:next w:val="Normal"/>
    <w:autoRedefine/>
    <w:uiPriority w:val="39"/>
    <w:unhideWhenUsed/>
    <w:rsid w:val="0023607D"/>
    <w:pPr>
      <w:spacing w:after="100"/>
      <w:ind w:left="220"/>
    </w:pPr>
  </w:style>
  <w:style w:type="paragraph" w:styleId="TOC3">
    <w:name w:val="toc 3"/>
    <w:basedOn w:val="Normal"/>
    <w:next w:val="Normal"/>
    <w:autoRedefine/>
    <w:uiPriority w:val="39"/>
    <w:unhideWhenUsed/>
    <w:rsid w:val="0023607D"/>
    <w:pPr>
      <w:spacing w:after="100"/>
      <w:ind w:left="440"/>
    </w:pPr>
  </w:style>
  <w:style w:type="character" w:styleId="Hyperlink">
    <w:name w:val="Hyperlink"/>
    <w:basedOn w:val="DefaultParagraphFont"/>
    <w:uiPriority w:val="99"/>
    <w:unhideWhenUsed/>
    <w:rsid w:val="0023607D"/>
    <w:rPr>
      <w:color w:val="0000FF" w:themeColor="hyperlink"/>
      <w:u w:val="single"/>
    </w:rPr>
  </w:style>
  <w:style w:type="paragraph" w:styleId="ListParagraph">
    <w:name w:val="List Paragraph"/>
    <w:basedOn w:val="Normal"/>
    <w:uiPriority w:val="34"/>
    <w:qFormat/>
    <w:rsid w:val="00B75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9632">
      <w:bodyDiv w:val="1"/>
      <w:marLeft w:val="0"/>
      <w:marRight w:val="0"/>
      <w:marTop w:val="0"/>
      <w:marBottom w:val="0"/>
      <w:divBdr>
        <w:top w:val="none" w:sz="0" w:space="0" w:color="auto"/>
        <w:left w:val="none" w:sz="0" w:space="0" w:color="auto"/>
        <w:bottom w:val="none" w:sz="0" w:space="0" w:color="auto"/>
        <w:right w:val="none" w:sz="0" w:space="0" w:color="auto"/>
      </w:divBdr>
      <w:divsChild>
        <w:div w:id="964887715">
          <w:marLeft w:val="-963"/>
          <w:marRight w:val="0"/>
          <w:marTop w:val="0"/>
          <w:marBottom w:val="0"/>
          <w:divBdr>
            <w:top w:val="none" w:sz="0" w:space="0" w:color="auto"/>
            <w:left w:val="none" w:sz="0" w:space="0" w:color="auto"/>
            <w:bottom w:val="none" w:sz="0" w:space="0" w:color="auto"/>
            <w:right w:val="none" w:sz="0" w:space="0" w:color="auto"/>
          </w:divBdr>
        </w:div>
        <w:div w:id="1596399006">
          <w:marLeft w:val="-963"/>
          <w:marRight w:val="0"/>
          <w:marTop w:val="0"/>
          <w:marBottom w:val="0"/>
          <w:divBdr>
            <w:top w:val="none" w:sz="0" w:space="0" w:color="auto"/>
            <w:left w:val="none" w:sz="0" w:space="0" w:color="auto"/>
            <w:bottom w:val="none" w:sz="0" w:space="0" w:color="auto"/>
            <w:right w:val="none" w:sz="0" w:space="0" w:color="auto"/>
          </w:divBdr>
        </w:div>
        <w:div w:id="834027957">
          <w:marLeft w:val="-870"/>
          <w:marRight w:val="0"/>
          <w:marTop w:val="0"/>
          <w:marBottom w:val="0"/>
          <w:divBdr>
            <w:top w:val="none" w:sz="0" w:space="0" w:color="auto"/>
            <w:left w:val="none" w:sz="0" w:space="0" w:color="auto"/>
            <w:bottom w:val="none" w:sz="0" w:space="0" w:color="auto"/>
            <w:right w:val="none" w:sz="0" w:space="0" w:color="auto"/>
          </w:divBdr>
        </w:div>
        <w:div w:id="1712461625">
          <w:marLeft w:val="-900"/>
          <w:marRight w:val="0"/>
          <w:marTop w:val="0"/>
          <w:marBottom w:val="0"/>
          <w:divBdr>
            <w:top w:val="none" w:sz="0" w:space="0" w:color="auto"/>
            <w:left w:val="none" w:sz="0" w:space="0" w:color="auto"/>
            <w:bottom w:val="none" w:sz="0" w:space="0" w:color="auto"/>
            <w:right w:val="none" w:sz="0" w:space="0" w:color="auto"/>
          </w:divBdr>
        </w:div>
        <w:div w:id="1790659564">
          <w:marLeft w:val="-963"/>
          <w:marRight w:val="0"/>
          <w:marTop w:val="0"/>
          <w:marBottom w:val="0"/>
          <w:divBdr>
            <w:top w:val="none" w:sz="0" w:space="0" w:color="auto"/>
            <w:left w:val="none" w:sz="0" w:space="0" w:color="auto"/>
            <w:bottom w:val="none" w:sz="0" w:space="0" w:color="auto"/>
            <w:right w:val="none" w:sz="0" w:space="0" w:color="auto"/>
          </w:divBdr>
        </w:div>
        <w:div w:id="1045761147">
          <w:marLeft w:val="-945"/>
          <w:marRight w:val="0"/>
          <w:marTop w:val="0"/>
          <w:marBottom w:val="0"/>
          <w:divBdr>
            <w:top w:val="none" w:sz="0" w:space="0" w:color="auto"/>
            <w:left w:val="none" w:sz="0" w:space="0" w:color="auto"/>
            <w:bottom w:val="none" w:sz="0" w:space="0" w:color="auto"/>
            <w:right w:val="none" w:sz="0" w:space="0" w:color="auto"/>
          </w:divBdr>
        </w:div>
        <w:div w:id="1904440354">
          <w:marLeft w:val="-963"/>
          <w:marRight w:val="0"/>
          <w:marTop w:val="0"/>
          <w:marBottom w:val="0"/>
          <w:divBdr>
            <w:top w:val="none" w:sz="0" w:space="0" w:color="auto"/>
            <w:left w:val="none" w:sz="0" w:space="0" w:color="auto"/>
            <w:bottom w:val="none" w:sz="0" w:space="0" w:color="auto"/>
            <w:right w:val="none" w:sz="0" w:space="0" w:color="auto"/>
          </w:divBdr>
        </w:div>
        <w:div w:id="851990718">
          <w:marLeft w:val="-93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ova.cccco.edu/caep/program-area-reports/4114/1935/2018/previe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nova.cccco.edu/caep/program-area-reports/4114/1848/2018/preview" TargetMode="External"/><Relationship Id="rId17" Type="http://schemas.openxmlformats.org/officeDocument/2006/relationships/hyperlink" Target="https://www.census.gov/programs-surveys/acs/" TargetMode="External"/><Relationship Id="rId2" Type="http://schemas.openxmlformats.org/officeDocument/2006/relationships/styles" Target="styles.xml"/><Relationship Id="rId16" Type="http://schemas.openxmlformats.org/officeDocument/2006/relationships/hyperlink" Target="https://nova.cccco.edu/caep/program-area-reports/4114/1938/2018/pre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rraassets.org" TargetMode="External"/><Relationship Id="rId5" Type="http://schemas.openxmlformats.org/officeDocument/2006/relationships/footnotes" Target="footnotes.xml"/><Relationship Id="rId15" Type="http://schemas.openxmlformats.org/officeDocument/2006/relationships/hyperlink" Target="https://nova.cccco.edu/caep/program-area-reports/4114/174/2018/preview"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nova.cccco.edu/caep/program-area-reports/4114/1937/2018/pr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26</Pages>
  <Words>7085</Words>
  <Characters>40391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Placer School for Adults</Company>
  <LinksUpToDate>false</LinksUpToDate>
  <CharactersWithSpaces>47382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5</cp:revision>
  <dcterms:created xsi:type="dcterms:W3CDTF">2019-05-29T16:56:00Z</dcterms:created>
  <dcterms:modified xsi:type="dcterms:W3CDTF">2019-05-29T17:41:00Z</dcterms:modified>
</cp:coreProperties>
</file>